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rPr>
          <w:b w:val="false"/>
          <w:bCs w:val="false"/>
          <w:i w:val="false"/>
          <w:iCs w:val="false"/>
        </w:rPr>
        <w:t>Convosphere Client Portal — User Guide</w:t>
      </w:r>
    </w:p>
    <w:p>
      <w:pPr>
        <w:spacing w:after="160"/>
      </w:pPr>
      <w:r>
        <w:rPr>
          <w:b/>
          <w:bCs/>
          <w:i w:val="false"/>
          <w:iCs w:val="false"/>
        </w:rPr>
        <w:t>Convosphere Client Portal</w:t>
      </w:r>
    </w:p>
    <w:p>
      <w:pPr>
        <w:spacing w:after="160"/>
      </w:pPr>
      <w:r>
        <w:rPr>
          <w:b w:val="false"/>
          <w:bCs w:val="false"/>
          <w:i w:val="false"/>
          <w:iCs w:val="false"/>
        </w:rPr>
        <w:t>Social intelligence, in your team's hands</w:t>
      </w:r>
    </w:p>
    <w:p>
      <w:pPr>
        <w:spacing w:after="160"/>
      </w:pPr>
      <w:r>
        <w:rPr>
          <w:b w:val="false"/>
          <w:bCs w:val="false"/>
          <w:i w:val="false"/>
          <w:iCs w:val="false"/>
        </w:rPr>
        <w:t xml:space="preserve">by Convosphere</w:t>
      </w:r>
    </w:p>
    <w:p>
      <w:pPr>
        <w:spacing w:after="160"/>
      </w:pPr>
      <w:r>
        <w:rPr>
          <w:b w:val="false"/>
          <w:bCs w:val="false"/>
          <w:i w:val="false"/>
          <w:iCs w:val="false"/>
        </w:rPr>
        <w:t xml:space="preserve">User Guide</w:t>
      </w:r>
    </w:p>
    <w:p>
      <w:pPr>
        <w:spacing w:after="200"/>
      </w:pPr>
      <w:r>
        <w:rPr>
          <w:b w:val="false"/>
          <w:bCs w:val="false"/>
          <w:i/>
          <w:iCs/>
        </w:rPr>
        <w:t xml:space="preserve">A practical guide to turning social listening exports into stakeholder-ready intelligence — in minutes, not days.</w:t>
      </w:r>
    </w:p>
    <w:p>
      <w:pPr>
        <w:spacing w:after="160"/>
      </w:pPr>
      <w:r>
        <w:rPr>
          <w:b w:val="false"/>
          <w:bCs w:val="false"/>
          <w:i w:val="false"/>
          <w:iCs w:val="false"/>
        </w:rPr>
        <w:t xml:space="preserve">For client analysts and brand teams</w:t>
      </w:r>
    </w:p>
    <w:p>
      <w:pPr>
        <w:spacing w:after="160"/>
      </w:pPr>
      <w:r>
        <w:rPr>
          <w:b w:val="false"/>
          <w:bCs w:val="false"/>
          <w:i w:val="false"/>
          <w:iCs w:val="false"/>
        </w:rPr>
        <w:t>Updated 13 September 2026</w:t>
      </w:r>
    </w:p>
    <w:p>
      <w:pPr>
        <w:pStyle w:val="Heading1"/>
      </w:pPr>
      <w:r>
        <w:rPr>
          <w:b w:val="false"/>
          <w:bCs w:val="false"/>
          <w:i w:val="false"/>
          <w:iCs w:val="false"/>
        </w:rPr>
        <w:t xml:space="preserve">Contents</w:t>
      </w:r>
    </w:p>
    <w:p>
      <w:pPr>
        <w:pStyle w:val="Heading1"/>
      </w:pPr>
      <w:r>
        <w:rPr>
          <w:b w:val="false"/>
          <w:bCs w:val="false"/>
          <w:i w:val="false"/>
          <w:iCs w:val="false"/>
        </w:rPr>
        <w:t xml:space="preserve">1. Welcome to the Portal</w:t>
      </w:r>
    </w:p>
    <w:p>
      <w:pPr>
        <w:spacing w:after="160"/>
      </w:pPr>
      <w:r>
        <w:rPr>
          <w:b w:val="false"/>
          <w:bCs w:val="false"/>
          <w:i w:val="false"/>
          <w:iCs w:val="false"/>
        </w:rPr>
        <w:t>The Convosphere Client Portal is where your team turns raw social-listening data into clear, decision-ready analysis. You bring the data — exports from tools like Talkwalker, ViralMoment, Brandwatch, or YouScan — and the portal's AI analysis tools, tuned with Convosphere's methodology, produce the brief, digest, or report you need.</w:t>
      </w:r>
    </w:p>
    <w:p>
      <w:pPr>
        <w:spacing w:after="160"/>
      </w:pPr>
      <w:r>
        <w:rPr>
          <w:b/>
          <w:bCs/>
          <w:i w:val="false"/>
          <w:iCs w:val="false"/>
        </w:rPr>
        <w:t xml:space="preserve">What you can do here, in short: </w:t>
      </w:r>
      <w:r>
        <w:rPr>
          <w:b w:val="false"/>
          <w:bCs w:val="false"/>
          <w:i w:val="false"/>
          <w:iCs w:val="false"/>
        </w:rPr>
        <w:t xml:space="preserve">paste or upload a dataset, choose an analysis tool, and get a structured, stakeholder-ready output you can copy or download as a PowerPoint or PDF. You can also save datasets for reuse, store a brand strategy brief so every analysis is brand-aware, and request a fully bespoke report from the Convosphere team.</w:t>
      </w:r>
    </w:p>
    <w:p>
      <w:pPr>
        <w:pStyle w:val="Heading2"/>
      </w:pPr>
      <w:r>
        <w:rPr>
          <w:b w:val="false"/>
          <w:bCs w:val="false"/>
          <w:i w:val="false"/>
          <w:iCs w:val="false"/>
        </w:rPr>
        <w:t xml:space="preserve">Signing in</w:t>
      </w:r>
    </w:p>
    <w:p>
      <w:pPr>
        <w:spacing w:after="160"/>
      </w:pPr>
      <w:r>
        <w:rPr>
          <w:b w:val="false"/>
          <w:bCs w:val="false"/>
          <w:i w:val="false"/>
          <w:iCs w:val="false"/>
        </w:rPr>
        <w:t xml:space="preserve">Use the email and password provided to you. On first sign-in you'll be asked to accept the user agreement. If you forget your password or need access for a colleague, contact your portal administrator or use Email Portal Support in the sidebar.</w:t>
      </w:r>
    </w:p>
    <w:p>
      <w:r>
        <w:t>Forgotten your password? Use the “Forgot password?” link on the sign-in page. We email you a link that is valid for 60 minutes and can be used once. Setting a new password signs you out everywhere else, so you will need to sign back in on any other device.</w:t>
      </w:r>
    </w:p>
    <w:p>
      <w:pPr>
        <w:pStyle w:val="Heading2"/>
      </w:pPr>
      <w:r>
        <w:rPr>
          <w:b w:val="false"/>
          <w:bCs w:val="false"/>
          <w:i w:val="false"/>
          <w:iCs w:val="false"/>
        </w:rPr>
        <w:t xml:space="preserve">What you can see</w:t>
      </w:r>
    </w:p>
    <w:p>
      <w:pPr>
        <w:spacing w:after="160"/>
      </w:pPr>
      <w:r>
        <w:rPr>
          <w:b w:val="false"/>
          <w:bCs w:val="false"/>
          <w:i w:val="false"/>
          <w:iCs w:val="false"/>
        </w:rPr>
        <w:t xml:space="preserve">The portal is organised by your client workspace. You'll see the brands (and, if your team uses them, the departments) you've been given access to — and only those. Your administrator controls which brands and tools appear for you, so your view is tailored to your role.</w:t>
      </w:r>
    </w:p>
    <w:p>
      <w:pPr>
        <w:pStyle w:val="Heading1"/>
      </w:pPr>
      <w:r>
        <w:rPr>
          <w:b w:val="false"/>
          <w:bCs w:val="false"/>
          <w:i w:val="false"/>
          <w:iCs w:val="false"/>
        </w:rPr>
        <w:t xml:space="preserve">2. Finding Your Way Around</w:t>
      </w:r>
    </w:p>
    <w:p>
      <w:pPr>
        <w:spacing w:after="160"/>
      </w:pPr>
      <w:r>
        <w:rPr>
          <w:b w:val="false"/>
          <w:bCs w:val="false"/>
          <w:i w:val="false"/>
          <w:iCs w:val="false"/>
        </w:rPr>
        <w:t xml:space="preserve">Everything is reached from the left-hand sidebar, grouped into sections.</w:t>
      </w:r>
    </w:p>
    <w:p>
      <w:pPr>
        <w:pStyle w:val="Heading2"/>
      </w:pPr>
      <w:r>
        <w:rPr>
          <w:b w:val="false"/>
          <w:bCs w:val="false"/>
          <w:i w:val="false"/>
          <w:iCs w:val="false"/>
        </w:rPr>
        <w:t xml:space="preserve">Main</w:t>
      </w:r>
    </w:p>
    <w:p>
      <w:pPr>
        <w:pStyle w:val="ListParagraph"/>
        <w:numPr>
          <w:ilvl w:val="0"/>
          <w:numId w:val="2"/>
        </w:numPr>
      </w:pPr>
      <w:r>
        <w:rPr>
          <w:b/>
          <w:bCs/>
          <w:i w:val="false"/>
          <w:iCs w:val="false"/>
        </w:rPr>
        <w:t xml:space="preserve">Dashboard — </w:t>
      </w:r>
      <w:r>
        <w:rPr>
          <w:b w:val="false"/>
          <w:bCs w:val="false"/>
          <w:i w:val="false"/>
          <w:iCs w:val="false"/>
        </w:rPr>
        <w:t xml:space="preserve">your landing view: active brands, open alerts, recent analysis runs, and learning progress at a glance.</w:t>
      </w:r>
    </w:p>
    <w:p>
      <w:pPr>
        <w:pStyle w:val="ListParagraph"/>
        <w:numPr>
          <w:ilvl w:val="0"/>
          <w:numId w:val="2"/>
        </w:numPr>
      </w:pPr>
      <w:r>
        <w:rPr>
          <w:b/>
          <w:bCs/>
          <w:i w:val="false"/>
          <w:iCs w:val="false"/>
        </w:rPr>
        <w:t xml:space="preserve">Prompt library — </w:t>
      </w:r>
      <w:r>
        <w:rPr>
          <w:b w:val="false"/>
          <w:bCs w:val="false"/>
          <w:i w:val="false"/>
          <w:iCs w:val="false"/>
        </w:rPr>
        <w:t xml:space="preserve">the heart of the portal. Every analysis tool lives here. This is where you run an analysis.</w:t>
      </w:r>
    </w:p>
    <w:p>
      <w:pPr>
        <w:pStyle w:val="ListParagraph"/>
        <w:numPr>
          <w:ilvl w:val="0"/>
          <w:numId w:val="2"/>
        </w:numPr>
      </w:pPr>
      <w:r>
        <w:rPr>
          <w:b/>
          <w:bCs/>
          <w:i w:val="false"/>
          <w:iCs w:val="false"/>
        </w:rPr>
        <w:t xml:space="preserve">Alerts — </w:t>
      </w:r>
      <w:r>
        <w:rPr>
          <w:b w:val="false"/>
          <w:bCs w:val="false"/>
          <w:i w:val="false"/>
          <w:iCs w:val="false"/>
        </w:rPr>
        <w:t xml:space="preserve">live monitoring of your brands. Watch rules check the social conversation on a schedule and flag unusual activity here.</w:t>
      </w:r>
    </w:p>
    <w:p>
      <w:pPr>
        <w:pStyle w:val="ListParagraph"/>
        <w:numPr>
          <w:ilvl w:val="0"/>
          <w:numId w:val="2"/>
        </w:numPr>
      </w:pPr>
      <w:r>
        <w:rPr>
          <w:b/>
          <w:bCs/>
          <w:i w:val="false"/>
          <w:iCs w:val="false"/>
        </w:rPr>
        <w:t xml:space="preserve">Reports — </w:t>
      </w:r>
      <w:r>
        <w:rPr>
          <w:b w:val="false"/>
          <w:bCs w:val="false"/>
          <w:i w:val="false"/>
          <w:iCs w:val="false"/>
        </w:rPr>
        <w:t xml:space="preserve">outputs you've generated and saved.</w:t>
      </w:r>
    </w:p>
    <w:p>
      <w:pPr>
        <w:pStyle w:val="ListParagraph"/>
      </w:pPr>
      <w:r>
        <w:t>What to trust — how far to trust each thing the portal shows you, rated honestly, and held to a stricter standard in regulated sectors.</w:t>
      </w:r>
    </w:p>
    <w:p>
      <w:pPr>
        <w:pStyle w:val="ListParagraph"/>
        <w:numPr>
          <w:ilvl w:val="0"/>
          <w:numId w:val="2"/>
        </w:numPr>
      </w:pPr>
      <w:r>
        <w:rPr>
          <w:b/>
          <w:bCs/>
          <w:i w:val="false"/>
          <w:iCs w:val="false"/>
        </w:rPr>
        <w:t xml:space="preserve">Data library — </w:t>
      </w:r>
      <w:r>
        <w:rPr>
          <w:b w:val="false"/>
          <w:bCs w:val="false"/>
          <w:i w:val="false"/>
          <w:iCs w:val="false"/>
        </w:rPr>
        <w:t xml:space="preserve">saved datasets. Upload a dataset once and reuse it across many prompts without re-uploading.</w:t>
      </w:r>
    </w:p>
    <w:p>
      <w:pPr>
        <w:pStyle w:val="ListParagraph"/>
        <w:numPr>
          <w:ilvl w:val="0"/>
          <w:numId w:val="2"/>
        </w:numPr>
      </w:pPr>
      <w:r>
        <w:rPr>
          <w:b/>
          <w:bCs/>
          <w:i w:val="false"/>
          <w:iCs w:val="false"/>
        </w:rPr>
        <w:t xml:space="preserve">Strategy Brief Upload — </w:t>
      </w:r>
      <w:r>
        <w:rPr>
          <w:b w:val="false"/>
          <w:bCs w:val="false"/>
          <w:i w:val="false"/>
          <w:iCs w:val="false"/>
        </w:rPr>
        <w:t xml:space="preserve">store a brand's strategy document so the AI analyses every run with that brand's objectives, tone, audiences, and sensitivities in mind.</w:t>
      </w:r>
    </w:p>
    <w:p>
      <w:pPr>
        <w:pStyle w:val="ListParagraph"/>
        <w:numPr>
          <w:ilvl w:val="0"/>
          <w:numId w:val="2"/>
        </w:numPr>
      </w:pPr>
      <w:r>
        <w:rPr>
          <w:b/>
          <w:bCs/>
          <w:i w:val="false"/>
          <w:iCs w:val="false"/>
        </w:rPr>
        <w:t xml:space="preserve">Activity summary — </w:t>
      </w:r>
      <w:r>
        <w:rPr>
          <w:b w:val="false"/>
          <w:bCs w:val="false"/>
          <w:i w:val="false"/>
          <w:iCs w:val="false"/>
        </w:rPr>
        <w:t xml:space="preserve">a log of work done across the portal: prompts run, datasets saved, and reports generated.</w:t>
      </w:r>
    </w:p>
    <w:p>
      <w:pPr>
        <w:pStyle w:val="Heading2"/>
      </w:pPr>
      <w:r>
        <w:rPr>
          <w:b w:val="false"/>
          <w:bCs w:val="false"/>
          <w:i w:val="false"/>
          <w:iCs w:val="false"/>
        </w:rPr>
        <w:t xml:space="preserve">Brands &amp; Projects</w:t>
      </w:r>
    </w:p>
    <w:p>
      <w:pPr>
        <w:spacing w:after="160"/>
      </w:pPr>
      <w:r>
        <w:rPr>
          <w:b w:val="false"/>
          <w:bCs w:val="false"/>
          <w:i w:val="false"/>
          <w:iCs w:val="false"/>
        </w:rPr>
        <w:t xml:space="preserve">Use the Brands dropdown to set the brand you’re working on — this tailors the analysis context. Use the Projects dropdown to set the project scope. Projects group brand-agnostic or exploratory work (for example a category or cultural study not tied to a single brand). Selecting a project filters Reports and Data Library to show only content associated with that project.</w:t>
      </w:r>
    </w:p>
    <w:p>
      <w:pPr>
        <w:spacing w:after="160"/>
      </w:pPr>
      <w:r>
        <w:rPr>
          <w:b w:val="0"/>
          <w:i w:val="0"/>
        </w:rPr>
        <w:t>Filtering the portal to one brand. Picking a brand from the Brands dropdown in the sidebar scopes the whole portal to it — Reports, Data library, Alerts and Insights all narrow to that brand, and a “Filtered by brand” banner appears on each with a Clear when you want the full picture back. The dropdown keeps showing the brand you chose, so you always know which lens you’re looking through, much like a workspace selector. To add a brand, use the “＋ Add brand” option in the same dropdown. The sidebar itself is now grouped into sections (Analyse, Monitor, Setup &amp; reference) so the growing set of pages stays easy to scan.</w:t>
      </w:r>
    </w:p>
    <w:p>
      <w:pPr>
        <w:pStyle w:val="Heading2"/>
      </w:pPr>
      <w:r>
        <w:rPr>
          <w:b w:val="false"/>
          <w:bCs w:val="false"/>
          <w:i w:val="false"/>
          <w:iCs w:val="false"/>
        </w:rPr>
        <w:t xml:space="preserve">Learning</w:t>
      </w:r>
    </w:p>
    <w:p>
      <w:pPr>
        <w:pStyle w:val="ListParagraph"/>
        <w:numPr>
          <w:ilvl w:val="0"/>
          <w:numId w:val="2"/>
        </w:numPr>
      </w:pPr>
      <w:r>
        <w:rPr>
          <w:b/>
          <w:bCs/>
          <w:i w:val="false"/>
          <w:iCs w:val="false"/>
        </w:rPr>
        <w:t xml:space="preserve">Training modules — </w:t>
      </w:r>
      <w:r>
        <w:rPr>
          <w:b w:val="false"/>
          <w:bCs w:val="false"/>
          <w:i w:val="false"/>
          <w:iCs w:val="false"/>
        </w:rPr>
        <w:t xml:space="preserve">short lessons on getting the most from the portal.</w:t>
      </w:r>
    </w:p>
    <w:p>
      <w:pPr>
        <w:pStyle w:val="ListParagraph"/>
        <w:numPr>
          <w:ilvl w:val="0"/>
          <w:numId w:val="2"/>
        </w:numPr>
      </w:pPr>
      <w:r>
        <w:rPr>
          <w:b/>
          <w:bCs/>
          <w:i w:val="false"/>
          <w:iCs w:val="false"/>
        </w:rPr>
        <w:t xml:space="preserve">Certification — </w:t>
      </w:r>
      <w:r>
        <w:rPr>
          <w:b w:val="false"/>
          <w:bCs w:val="false"/>
          <w:i w:val="false"/>
          <w:iCs w:val="false"/>
        </w:rPr>
        <w:t xml:space="preserve">unlocks once you complete the training modules.</w:t>
      </w:r>
    </w:p>
    <w:p>
      <w:pPr>
        <w:pStyle w:val="Heading2"/>
      </w:pPr>
      <w:r>
        <w:rPr>
          <w:b w:val="false"/>
          <w:bCs w:val="false"/>
          <w:i w:val="false"/>
          <w:iCs w:val="false"/>
        </w:rPr>
        <w:t xml:space="preserve">Convosphere</w:t>
      </w:r>
    </w:p>
    <w:p>
      <w:pPr>
        <w:spacing w:after="160"/>
      </w:pPr>
      <w:r>
        <w:rPr>
          <w:b w:val="false"/>
          <w:bCs w:val="false"/>
          <w:i w:val="false"/>
          <w:iCs w:val="false"/>
        </w:rPr>
        <w:t xml:space="preserve">This section connects you to the Convosphere team and account tools: Request a report (commission a bespoke analysis), Submitted briefs (track those requests), Usage &amp; cost, Exorde data (administrators: pull social mentions directly from the Exorde live data feed — preview any query for free, then export against the monthly mention quota and send the result straight to the Data library), and Email Portal Support. Some items in this section are visible only to administrators.</w:t>
      </w:r>
    </w:p>
    <w:p>
      <w:pPr>
        <w:pStyle w:val="Heading2"/>
      </w:pPr>
      <w:r>
        <w:rPr>
          <w:b w:val="false"/>
          <w:bCs w:val="false"/>
          <w:i w:val="false"/>
          <w:iCs w:val="false"/>
        </w:rPr>
        <w:t xml:space="preserve">For administrators</w:t>
      </w:r>
    </w:p>
    <w:p>
      <w:pPr>
        <w:spacing w:after="160"/>
      </w:pPr>
      <w:r>
        <w:rPr>
          <w:b w:val="false"/>
          <w:bCs w:val="false"/>
          <w:i w:val="false"/>
          <w:iCs w:val="false"/>
        </w:rPr>
        <w:t xml:space="preserve">Administrators can manage users, departments, and role-based prompt access from Settings → Users &amp; department access. Each user’s most recent sign-in is shown there (“Last login: &lt;date&gt;”, or “Never logged in” for users who haven’t signed in yet) — useful for spotting accounts that need a nudge or a password reset.</w:t>
      </w:r>
    </w:p>
    <w:p>
      <w:pPr>
        <w:pStyle w:val="Heading1"/>
      </w:pPr>
      <w:r>
        <w:rPr>
          <w:b w:val="false"/>
          <w:bCs w:val="false"/>
          <w:i w:val="false"/>
          <w:iCs w:val="false"/>
        </w:rPr>
        <w:t xml:space="preserve">3. Running Your First Analysis</w:t>
      </w:r>
    </w:p>
    <w:p>
      <w:pPr>
        <w:spacing w:after="160"/>
      </w:pPr>
      <w:r>
        <w:rPr>
          <w:b w:val="false"/>
          <w:bCs w:val="false"/>
          <w:i w:val="false"/>
          <w:iCs w:val="false"/>
        </w:rPr>
        <w:t xml:space="preserve">The core workflow is the same for every tool. From the Prompt library:</w:t>
      </w:r>
    </w:p>
    <w:p>
      <w:pPr>
        <w:pStyle w:val="ListParagraph"/>
        <w:numPr>
          <w:ilvl w:val="0"/>
          <w:numId w:val="2"/>
        </w:numPr>
      </w:pPr>
      <w:r>
        <w:rPr>
          <w:b/>
          <w:bCs/>
          <w:i w:val="false"/>
          <w:iCs w:val="false"/>
        </w:rPr>
        <w:t xml:space="preserve">Pick a tool. </w:t>
      </w:r>
      <w:r>
        <w:rPr>
          <w:b w:val="false"/>
          <w:bCs w:val="false"/>
          <w:i w:val="false"/>
          <w:iCs w:val="false"/>
        </w:rPr>
        <w:t xml:space="preserve">Each card describes what it produces. (Section 4 lists them all.)</w:t>
      </w:r>
    </w:p>
    <w:p>
      <w:pPr>
        <w:pStyle w:val="ListParagraph"/>
        <w:numPr>
          <w:ilvl w:val="0"/>
          <w:numId w:val="2"/>
        </w:numPr>
      </w:pPr>
      <w:r>
        <w:rPr>
          <w:b/>
          <w:bCs/>
          <w:i w:val="false"/>
          <w:iCs w:val="false"/>
        </w:rPr>
        <w:t xml:space="preserve">Set your context. </w:t>
      </w:r>
      <w:r>
        <w:rPr>
          <w:b w:val="false"/>
          <w:bCs w:val="false"/>
          <w:i w:val="false"/>
          <w:iCs w:val="false"/>
        </w:rPr>
        <w:t xml:space="preserve">Choose the brand and the time window (e.g. Last 7 days, Last 30 days). Some tools ask for an extra detail — a competitor name, a campaign name, or a market.</w:t>
      </w:r>
    </w:p>
    <w:p>
      <w:pPr>
        <w:pStyle w:val="ListParagraph"/>
        <w:numPr>
          <w:ilvl w:val="0"/>
          <w:numId w:val="2"/>
        </w:numPr>
      </w:pPr>
      <w:r>
        <w:rPr>
          <w:b/>
          <w:bCs/>
          <w:i w:val="false"/>
          <w:iCs w:val="false"/>
        </w:rPr>
        <w:t xml:space="preserve">Add your data. </w:t>
      </w:r>
      <w:r>
        <w:rPr>
          <w:b w:val="false"/>
          <w:bCs w:val="false"/>
          <w:i w:val="false"/>
          <w:iCs w:val="false"/>
        </w:rPr>
        <w:t xml:space="preserve">Toggle between Paste data and Upload file. Paste raw export text, or upload a CSV, XLSX, or JSONL file. You can also pull in a saved dataset from your Data library. Richer tools (like Report builder) let you combine up to three data sources.</w:t>
      </w:r>
    </w:p>
    <w:p>
      <w:pPr>
        <w:pStyle w:val="ListParagraph"/>
        <w:numPr>
          <w:ilvl w:val="0"/>
          <w:numId w:val="2"/>
        </w:numPr>
      </w:pPr>
      <w:r>
        <w:rPr>
          <w:b/>
          <w:bCs/>
          <w:i w:val="false"/>
          <w:iCs w:val="false"/>
        </w:rPr>
        <w:t xml:space="preserve">Run it. </w:t>
      </w:r>
      <w:r>
        <w:rPr>
          <w:b w:val="false"/>
          <w:bCs w:val="false"/>
          <w:i w:val="false"/>
          <w:iCs w:val="false"/>
        </w:rPr>
        <w:t xml:space="preserve">The portal sends your data to the analysis model and returns a structured output, usually in well under a minute.</w:t>
      </w:r>
    </w:p>
    <w:p>
      <w:pPr>
        <w:pStyle w:val="ListParagraph"/>
        <w:numPr>
          <w:ilvl w:val="0"/>
          <w:numId w:val="2"/>
        </w:numPr>
      </w:pPr>
      <w:r>
        <w:rPr>
          <w:b/>
          <w:bCs/>
          <w:i w:val="false"/>
          <w:iCs w:val="false"/>
        </w:rPr>
        <w:t xml:space="preserve">Use the output. </w:t>
      </w:r>
      <w:r>
        <w:rPr>
          <w:b w:val="false"/>
          <w:bCs w:val="false"/>
          <w:i w:val="false"/>
          <w:iCs w:val="false"/>
        </w:rPr>
        <w:t xml:space="preserve">Copy it, or download it as a PowerPoint (PPTX) or PDF. PowerPoint downloads can use your own branded deck as the template, and you can choose which charts appear on which slides. You can also export the underlying source data as CSV.</w:t>
      </w:r>
    </w:p>
    <w:p>
      <w:pPr>
        <w:pStyle w:val="Heading2"/>
      </w:pPr>
      <w:r>
        <w:rPr>
          <w:b w:val="false"/>
          <w:bCs w:val="false"/>
          <w:i w:val="false"/>
          <w:iCs w:val="false"/>
        </w:rPr>
        <w:t xml:space="preserve">A note on how the analysis works</w:t>
      </w:r>
    </w:p>
    <w:p>
      <w:pPr>
        <w:spacing w:after="160"/>
      </w:pPr>
      <w:r>
        <w:rPr>
          <w:b w:val="false"/>
          <w:bCs w:val="false"/>
          <w:i w:val="false"/>
          <w:iCs w:val="false"/>
        </w:rPr>
        <w:t xml:space="preserve">Every analysis is </w:t>
      </w:r>
      <w:r>
        <w:rPr>
          <w:b/>
          <w:bCs/>
          <w:i w:val="false"/>
          <w:iCs w:val="false"/>
        </w:rPr>
        <w:t xml:space="preserve">grounded in the data you provide</w:t>
      </w:r>
      <w:r>
        <w:rPr>
          <w:b w:val="false"/>
          <w:bCs w:val="false"/>
          <w:i w:val="false"/>
          <w:iCs w:val="false"/>
        </w:rPr>
        <w:t xml:space="preserve">. The models are instructed to base findings only on your dataset — not on outside knowledge or assumptions — and to say so plainly when the data doesn't support a conclusion, rather than guessing. This keeps outputs defensible: every concrete claim traces back to the data you supplied.</w:t>
      </w:r>
    </w:p>
    <w:p>
      <w:pPr>
        <w:pStyle w:val="Heading2"/>
      </w:pPr>
      <w:r>
        <w:t>The Convosphere analyst view</w:t>
      </w:r>
    </w:p>
    <w:p>
      <w:r>
        <w:t>Every report carries a Convosphere analyst view at the top: a short, human answer to “so what, and why does this matter to your business?” It sits above the AI output, and it leads the PowerPoint and PDF exports too. This is the part of the report that is explicitly not AI.</w:t>
      </w:r>
    </w:p>
    <w:p>
      <w:r>
        <w:t>You can generate a starting draft with AI, but a draft is not the deliverable. It stays marked “AI draft — not yet reviewed” until an analyst edits and saves it, at which point it is marked as reviewed and records who reviewed it. Convosphere staff and client admins can write it.</w:t>
      </w:r>
    </w:p>
    <w:p>
      <w:pPr>
        <w:pStyle w:val="Heading2"/>
      </w:pPr>
      <w:r>
        <w:rPr>
          <w:b w:val="false"/>
          <w:bCs w:val="false"/>
          <w:i w:val="false"/>
          <w:iCs w:val="false"/>
        </w:rPr>
        <w:t xml:space="preserve">Saving data for reuse</w:t>
      </w:r>
    </w:p>
    <w:p>
      <w:pPr>
        <w:spacing w:after="160"/>
      </w:pPr>
      <w:r>
        <w:rPr>
          <w:b w:val="false"/>
          <w:bCs w:val="false"/>
          <w:i w:val="false"/>
          <w:iCs w:val="false"/>
        </w:rPr>
        <w:t xml:space="preserve">If you'll run several tools over the same dataset, save it to the Data library first. Saved datasets are available to every prompt without re-uploading — useful for a week's export you want to digest, theme, and summarise in turn.</w:t>
      </w:r>
    </w:p>
    <w:p>
      <w:pPr>
        <w:pStyle w:val="Heading2"/>
      </w:pPr>
      <w:r>
        <w:rPr>
          <w:b w:val="false"/>
          <w:bCs w:val="false"/>
          <w:i w:val="false"/>
          <w:iCs w:val="false"/>
        </w:rPr>
        <w:t xml:space="preserve">Comparing to a prior report (recurring analyses)</w:t>
      </w:r>
    </w:p>
    <w:p>
      <w:pPr>
        <w:spacing w:after="160"/>
      </w:pPr>
      <w:r>
        <w:rPr>
          <w:b w:val="false"/>
          <w:bCs w:val="false"/>
          <w:i w:val="false"/>
          <w:iCs w:val="false"/>
        </w:rPr>
        <w:t xml:space="preserve">If you produce a report on the same brand regularly — say a monthly read — you can carry continuity from one period to the next. Above the Run button there's an optional "Compare to prior report" upload: add last period's report (PDF, Word, or text), and this period's report will follow the same structure and explicitly call out what has changed — new or fading themes, shifts in sentiment or volume, and whether previously-flagged issues have resolved or persisted. Change is only ever claimed where the current data supports it; the prior report is used as a baseline for comparison, never quoted as if it were this period's data. It works with any tool, and it's optional — leave it empty for a fresh, standalone analysis.</w:t>
      </w:r>
    </w:p>
    <w:p>
      <w:pPr>
        <w:pStyle w:val="Heading2"/>
      </w:pPr>
      <w:r>
        <w:t xml:space="preserve">Working with a very large export</w:t>
      </w:r>
    </w:p>
    <w:p>
      <w:pPr>
        <w:spacing w:after="160"/>
      </w:pPr>
      <w:r>
        <w:t xml:space="preserve">If a single export is too large to upload comfortably, open the Data library and use Split a large file. It breaks the file into smaller parts on clean record boundaries - so no row is ever cut in half - and can bundle the parts as a single download. You can then bring every part back in as ONE dataset in the library, so a file that was too big to handle in one piece is still analysed as one conversation rather than a stack of fragments.</w:t>
      </w:r>
    </w:p>
    <w:p>
      <w:pPr>
        <w:pStyle w:val="Heading1"/>
      </w:pPr>
      <w:r>
        <w:rPr>
          <w:b w:val="false"/>
          <w:bCs w:val="false"/>
          <w:i w:val="false"/>
          <w:iCs w:val="false"/>
        </w:rPr>
        <w:t xml:space="preserve">4. The Analysis Tools</w:t>
      </w:r>
    </w:p>
    <w:p>
      <w:pPr>
        <w:spacing w:after="160"/>
      </w:pPr>
      <w:r>
        <w:rPr>
          <w:b w:val="false"/>
          <w:bCs w:val="false"/>
          <w:i w:val="false"/>
          <w:iCs w:val="false"/>
        </w:rPr>
        <w:t xml:space="preserve">The Prompt library is organised so you can start fast. The data-cleansing step comes first; the analysis tools follow.</w:t>
      </w:r>
    </w:p>
    <w:p>
      <w:pPr>
        <w:spacing w:after="160"/>
      </w:pPr>
      <w:r>
        <w:rPr>
          <w:b w:val="0"/>
          <w:i w:val="0"/>
        </w:rPr>
        <w:t>The library is organised into sections — Reputation &amp; risk, Understand the conversation, Go deeper, Channel &amp; content, and Stakeholder briefs — so the growing set of tools stays easy to scan. Depending on your role you may see only some of them.</w:t>
      </w:r>
    </w:p>
    <w:p>
      <w:pPr>
        <w:pStyle w:val="Heading2"/>
      </w:pPr>
      <w:r>
        <w:rPr>
          <w:b w:val="false"/>
          <w:bCs w:val="false"/>
          <w:i w:val="false"/>
          <w:iCs w:val="false"/>
        </w:rPr>
        <w:t xml:space="preserve">Start here: Data quality &amp; noise filter</w:t>
      </w:r>
    </w:p>
    <w:p>
      <w:pPr>
        <w:spacing w:after="160"/>
      </w:pPr>
      <w:r>
        <w:rPr>
          <w:b w:val="false"/>
          <w:bCs w:val="false"/>
          <w:i w:val="false"/>
          <w:iCs w:val="false"/>
        </w:rPr>
        <w:t xml:space="preserve">Run this first on a fresh export. It identifies and removes noise — name collisions, off-topic content, spam, political context — and returns a clean dataset ready for the analysis tools. Cleaner input means sharper output.</w:t>
      </w:r>
    </w:p>
    <w:p>
      <w:pPr>
        <w:pStyle w:val="Heading3"/>
      </w:pPr>
      <w:r>
        <w:rPr>
          <w:b w:val="false"/>
          <w:bCs w:val="false"/>
          <w:i w:val="false"/>
          <w:iCs w:val="false"/>
        </w:rPr>
        <w:t xml:space="preserve">How the cleaning step works</w:t>
      </w:r>
    </w:p>
    <w:p>
      <w:pPr>
        <w:spacing w:after="160"/>
      </w:pPr>
      <w:r>
        <w:rPr>
          <w:b w:val="false"/>
          <w:bCs w:val="false"/>
          <w:i w:val="false"/>
          <w:iCs w:val="false"/>
        </w:rPr>
        <w:t xml:space="preserve">Upload your export and run the tool. the portal produces a data-quality report — which files are clean, which are noisy, what the noise is, and roughly how much — and beneath it a </w:t>
      </w:r>
      <w:r>
        <w:rPr>
          <w:b/>
          <w:bCs/>
          <w:i w:val="false"/>
          <w:iCs w:val="false"/>
        </w:rPr>
        <w:t xml:space="preserve">Review &amp; apply exclusions</w:t>
      </w:r>
      <w:r>
        <w:rPr>
          <w:b w:val="false"/>
          <w:bCs w:val="false"/>
          <w:i w:val="false"/>
          <w:iCs w:val="false"/>
        </w:rPr>
        <w:t xml:space="preserve"> panel with a checklist of proposed rules. Every rule is ticked by default; untick any you don’t want. Click </w:t>
      </w:r>
      <w:r>
        <w:rPr>
          <w:b/>
          <w:bCs/>
          <w:i w:val="false"/>
          <w:iCs w:val="false"/>
        </w:rPr>
        <w:t xml:space="preserve">Apply &amp; preview</w:t>
      </w:r>
      <w:r>
        <w:rPr>
          <w:b w:val="false"/>
          <w:bCs w:val="false"/>
          <w:i w:val="false"/>
          <w:iCs w:val="false"/>
        </w:rPr>
        <w:t xml:space="preserve"> to run the rules against your data — you’ll see how many rows were kept versus removed, and a breakdown of how many each rule caught. Then download the cleaned CSV, use it directly in the next prompt, or add it to your Data library.</w:t>
      </w:r>
    </w:p>
    <w:p>
      <w:pPr>
        <w:pStyle w:val="Heading3"/>
      </w:pPr>
      <w:r>
        <w:rPr>
          <w:b w:val="false"/>
          <w:bCs w:val="false"/>
          <w:i w:val="false"/>
          <w:iCs w:val="false"/>
        </w:rPr>
        <w:t xml:space="preserve">Understanding the exclusion rules</w:t>
      </w:r>
    </w:p>
    <w:p>
      <w:pPr>
        <w:spacing w:after="160"/>
      </w:pPr>
      <w:r>
        <w:rPr>
          <w:b w:val="false"/>
          <w:bCs w:val="false"/>
          <w:i w:val="false"/>
          <w:iCs w:val="false"/>
        </w:rPr>
        <w:t xml:space="preserve">Each rule shows a plain-English label and the terms it matches. The way the terms are written tells you how the rule works:</w:t>
      </w:r>
    </w:p>
    <w:p>
      <w:pPr>
        <w:pStyle w:val="ListParagraph"/>
        <w:numPr>
          <w:ilvl w:val="0"/>
          <w:numId w:val="2"/>
        </w:numPr>
      </w:pPr>
      <w:r>
        <w:rPr>
          <w:b/>
          <w:bCs/>
          <w:i w:val="false"/>
          <w:iCs w:val="false"/>
        </w:rPr>
        <w:t xml:space="preserve">A single term </w:t>
      </w:r>
      <w:r>
        <w:rPr>
          <w:b w:val="false"/>
          <w:bCs w:val="false"/>
          <w:i w:val="false"/>
          <w:iCs w:val="false"/>
        </w:rPr>
        <w:t xml:space="preserve">(for example </w:t>
      </w:r>
      <w:r>
        <w:rPr>
          <w:b w:val="false"/>
          <w:bCs w:val="false"/>
          <w:i/>
          <w:iCs/>
        </w:rPr>
        <w:t xml:space="preserve">for sale</w:t>
      </w:r>
      <w:r>
        <w:rPr>
          <w:b w:val="false"/>
          <w:bCs w:val="false"/>
          <w:i w:val="false"/>
          <w:iCs w:val="false"/>
        </w:rPr>
        <w:t xml:space="preserve">) removes any row containing that word or phrase.</w:t>
      </w:r>
    </w:p>
    <w:p>
      <w:pPr>
        <w:pStyle w:val="ListParagraph"/>
        <w:numPr>
          <w:ilvl w:val="0"/>
          <w:numId w:val="2"/>
        </w:numPr>
      </w:pPr>
      <w:r>
        <w:rPr>
          <w:b/>
          <w:bCs/>
          <w:i w:val="false"/>
          <w:iCs w:val="false"/>
        </w:rPr>
        <w:t xml:space="preserve">Two terms joined by “+” </w:t>
      </w:r>
      <w:r>
        <w:rPr>
          <w:b w:val="false"/>
          <w:bCs w:val="false"/>
          <w:i w:val="false"/>
          <w:iCs w:val="false"/>
        </w:rPr>
        <w:t xml:space="preserve">(for example </w:t>
      </w:r>
      <w:r>
        <w:rPr>
          <w:b w:val="false"/>
          <w:bCs w:val="false"/>
          <w:i/>
          <w:iCs/>
        </w:rPr>
        <w:t xml:space="preserve">barbie + olandria</w:t>
      </w:r>
      <w:r>
        <w:rPr>
          <w:b w:val="false"/>
          <w:bCs w:val="false"/>
          <w:i w:val="false"/>
          <w:iCs w:val="false"/>
        </w:rPr>
        <w:t xml:space="preserve">) remove a row only when it contains both. This is how a broad word is targeted safely — it’s removed only when it sits next to the noise marker, so genuine brand mentions are kept.</w:t>
      </w:r>
    </w:p>
    <w:p>
      <w:pPr>
        <w:pStyle w:val="ListParagraph"/>
        <w:numPr>
          <w:ilvl w:val="0"/>
          <w:numId w:val="2"/>
        </w:numPr>
      </w:pPr>
      <w:r>
        <w:rPr>
          <w:b/>
          <w:bCs/>
          <w:i w:val="false"/>
          <w:iCs w:val="false"/>
        </w:rPr>
        <w:t xml:space="preserve">Terms separated by “/” </w:t>
      </w:r>
      <w:r>
        <w:rPr>
          <w:b w:val="false"/>
          <w:bCs w:val="false"/>
          <w:i w:val="false"/>
          <w:iCs w:val="false"/>
        </w:rPr>
        <w:t xml:space="preserve">(for example </w:t>
      </w:r>
      <w:r>
        <w:rPr>
          <w:b w:val="false"/>
          <w:bCs w:val="false"/>
          <w:i/>
          <w:iCs/>
        </w:rPr>
        <w:t xml:space="preserve">#jcb / #jcbtoy</w:t>
      </w:r>
      <w:r>
        <w:rPr>
          <w:b w:val="false"/>
          <w:bCs w:val="false"/>
          <w:i w:val="false"/>
          <w:iCs w:val="false"/>
        </w:rPr>
        <w:t xml:space="preserve">) remove a row containing any one of them — used for clusters of off-brand hashtags or authors.</w:t>
      </w:r>
    </w:p>
    <w:p>
      <w:pPr>
        <w:pStyle w:val="ListParagraph"/>
        <w:numPr>
          <w:ilvl w:val="0"/>
          <w:numId w:val="2"/>
        </w:numPr>
      </w:pPr>
      <w:r>
        <w:rPr>
          <w:b/>
          <w:bCs/>
          <w:i w:val="false"/>
          <w:iCs w:val="false"/>
        </w:rPr>
        <w:t xml:space="preserve">A term with a language tag </w:t>
      </w:r>
      <w:r>
        <w:rPr>
          <w:b w:val="false"/>
          <w:bCs w:val="false"/>
          <w:i w:val="false"/>
          <w:iCs w:val="false"/>
        </w:rPr>
        <w:t xml:space="preserve">(for example </w:t>
      </w:r>
      <w:r>
        <w:rPr>
          <w:b w:val="false"/>
          <w:bCs w:val="false"/>
          <w:i/>
          <w:iCs/>
        </w:rPr>
        <w:t xml:space="preserve">barbie [sv]</w:t>
      </w:r>
      <w:r>
        <w:rPr>
          <w:b w:val="false"/>
          <w:bCs w:val="false"/>
          <w:i w:val="false"/>
          <w:iCs w:val="false"/>
        </w:rPr>
        <w:t xml:space="preserve">) removes rows containing that term only when the post is in that language — here Swedish. Posts in your study language are left untouched.</w:t>
      </w:r>
    </w:p>
    <w:p>
      <w:pPr>
        <w:pStyle w:val="Heading3"/>
      </w:pPr>
      <w:r>
        <w:rPr>
          <w:b w:val="false"/>
          <w:bCs w:val="false"/>
          <w:i w:val="false"/>
          <w:iCs w:val="false"/>
        </w:rPr>
        <w:t xml:space="preserve">Refining the rules with a follow-up</w:t>
      </w:r>
    </w:p>
    <w:p>
      <w:pPr>
        <w:spacing w:after="160"/>
      </w:pPr>
      <w:r>
        <w:rPr>
          <w:b w:val="false"/>
          <w:bCs w:val="false"/>
          <w:i w:val="false"/>
          <w:iCs w:val="false"/>
        </w:rPr>
        <w:t xml:space="preserve">If the first pass misses something, you don’t have to start over. Type a follow-up in the </w:t>
      </w:r>
      <w:r>
        <w:rPr>
          <w:b/>
          <w:bCs/>
          <w:i w:val="false"/>
          <w:iCs w:val="false"/>
        </w:rPr>
        <w:t xml:space="preserve">Ask a follow-up</w:t>
      </w:r>
      <w:r>
        <w:rPr>
          <w:b w:val="false"/>
          <w:bCs w:val="false"/>
          <w:i w:val="false"/>
          <w:iCs w:val="false"/>
        </w:rPr>
        <w:t xml:space="preserve"> box describing the noise you still see — name the exact terms, hashtags, languages, or clusters — and the portal generates an updated set of rules. The more specific you are, the better the rules.</w:t>
      </w:r>
    </w:p>
    <w:p>
      <w:pPr>
        <w:spacing w:after="160"/>
      </w:pPr>
      <w:r>
        <w:rPr>
          <w:b w:val="false"/>
          <w:bCs w:val="false"/>
          <w:i w:val="false"/>
          <w:iCs w:val="false"/>
        </w:rPr>
        <w:t xml:space="preserve">If you’ve already applied a set of rules when you do this, the portal won’t discard your current result. A </w:t>
      </w:r>
      <w:r>
        <w:rPr>
          <w:b/>
          <w:bCs/>
          <w:i w:val="false"/>
          <w:iCs w:val="false"/>
        </w:rPr>
        <w:t xml:space="preserve">Load updated rules</w:t>
      </w:r>
      <w:r>
        <w:rPr>
          <w:b w:val="false"/>
          <w:bCs w:val="false"/>
          <w:i w:val="false"/>
          <w:iCs w:val="false"/>
        </w:rPr>
        <w:t xml:space="preserve"> banner appears instead. Click it to load the newer rules into the checklist, then click Apply &amp; preview again to recalculate. This keeps what’s on screen and what you download in step.</w:t>
      </w:r>
    </w:p>
    <w:p>
      <w:pPr>
        <w:spacing w:after="160"/>
      </w:pPr>
      <w:r>
        <w:rPr>
          <w:b/>
          <w:bCs/>
          <w:i w:val="false"/>
          <w:iCs w:val="false"/>
        </w:rPr>
        <w:t xml:space="preserve">The golden rule: always click Apply &amp; preview, then download. </w:t>
      </w:r>
      <w:r>
        <w:rPr>
          <w:b w:val="false"/>
          <w:bCs w:val="false"/>
          <w:i w:val="false"/>
          <w:iCs w:val="false"/>
        </w:rPr>
        <w:t xml:space="preserve">The downloadable file always matches the rules currently applied — so if you change the rules, apply again before downloading.</w:t>
      </w:r>
    </w:p>
    <w:p>
      <w:pPr>
        <w:spacing w:after="160"/>
      </w:pPr>
      <w:r>
        <w:rPr>
          <w:b/>
          <w:bCs/>
          <w:i w:val="false"/>
          <w:iCs w:val="false"/>
        </w:rPr>
        <w:t xml:space="preserve">Reading the numbers. </w:t>
      </w:r>
      <w:r>
        <w:rPr>
          <w:b w:val="false"/>
          <w:bCs w:val="false"/>
          <w:i w:val="false"/>
          <w:iCs w:val="false"/>
        </w:rPr>
        <w:t xml:space="preserve">A low “removed” percentage isn’t a problem in itself. If most of your data is genuinely on-brand and the noise sits in one small file, even a perfect clean removes only a small share. Judge success by the breakdown — are the clusters you cared about actually being caught? — not by the headline percentage.</w:t>
      </w:r>
    </w:p>
    <w:p>
      <w:pPr>
        <w:spacing w:after="160"/>
      </w:pPr>
      <w:r>
        <w:rPr>
          <w:b w:val="0"/>
          <w:i w:val="0"/>
        </w:rPr>
        <w:t>Reusing the cleaning at source. Once the noise rules are identified, the cleaning panel offers a “Copy Exclusions” button that turns the ticked rules into a ready-to-paste Boolean NOT(…) block. Drop it into your Talkwalker query and the noise never enters the next pull — so you clean once, at the source, rather than every time.</w:t>
      </w:r>
    </w:p>
    <w:p>
      <w:pPr>
        <w:spacing w:after="160"/>
      </w:pPr>
      <w:r>
        <w:rPr>
          <w:b w:val="false"/>
          <w:bCs w:val="false"/>
          <w:i w:val="false"/>
          <w:iCs w:val="false"/>
        </w:rPr>
        <w:t xml:space="preserve">Emailing exclusions to the team. Next to Copy Exclusions is an Email to team button. It sends the same ready-to-paste Boolean block — plus a plain-English list of what each rule removes — straight to the brand's team so they can apply it at source. You enter the recipients the first time and the portal remembers them against that brand, so afterwards it is two clicks. Set the platform (Talkwalker by default) and add an optional note; regex-based rules can't be written as Boolean and are listed in words rather than in the query block.</w:t>
      </w:r>
    </w:p>
    <w:p>
      <w:pPr>
        <w:pStyle w:val="Heading2"/>
      </w:pPr>
      <w:r>
        <w:rPr>
          <w:b w:val="false"/>
          <w:bCs w:val="false"/>
          <w:i w:val="false"/>
          <w:iCs w:val="false"/>
        </w:rPr>
        <w:t xml:space="preserve">Quick analyses (single dataset)</w:t>
      </w:r>
    </w:p>
    <w:p>
      <w:r>
        <w:rPr>
          <w:rFonts w:ascii="Courier New" w:cs="Courier New" w:eastAsia="Courier New" w:hAnsi="Courier New"/>
          <w:sz w:val="18"/>
          <w:szCs w:val="18"/>
        </w:rPr>
        <w:t xml:space="preserve">| **Tool** | **What it does** |</w:t>
      </w:r>
    </w:p>
    <w:p>
      <w:r>
        <w:rPr>
          <w:rFonts w:ascii="Courier New" w:cs="Courier New" w:eastAsia="Courier New" w:hAnsi="Courier New"/>
          <w:sz w:val="18"/>
          <w:szCs w:val="18"/>
        </w:rPr>
        <w:t xml:space="preserve">| --- | --- |</w:t>
      </w:r>
    </w:p>
    <w:p>
      <w:r>
        <w:rPr>
          <w:rFonts w:ascii="Courier New" w:cs="Courier New" w:eastAsia="Courier New" w:hAnsi="Courier New"/>
          <w:sz w:val="18"/>
          <w:szCs w:val="18"/>
        </w:rPr>
        <w:t xml:space="preserve">| **Triage** | Rapidly classifies an incoming signal by urgency and category. Use when an alert fires and you need to know fast whether it requires action. |</w:t>
      </w:r>
    </w:p>
    <w:p>
      <w:r>
        <w:rPr>
          <w:rFonts w:ascii="Courier New" w:cs="Courier New" w:eastAsia="Courier New" w:hAnsi="Courier New"/>
          <w:sz w:val="18"/>
          <w:szCs w:val="18"/>
        </w:rPr>
        <w:t xml:space="preserve">| **Audience sentiment** | Deep-dives into who is talking about a brand, what they feel, and why — beyond the score to the emotional drivers. |</w:t>
      </w:r>
    </w:p>
    <w:p>
      <w:r>
        <w:rPr>
          <w:rFonts w:ascii="Courier New" w:cs="Courier New" w:eastAsia="Courier New" w:hAnsi="Courier New"/>
          <w:sz w:val="18"/>
          <w:szCs w:val="18"/>
        </w:rPr>
        <w:t xml:space="preserve">| **Trend early warning** | Surfaces emerging signals before they spike. Identifies low-volume, high-velocity conversations likely to grow. |</w:t>
      </w:r>
    </w:p>
    <w:p>
      <w:r>
        <w:rPr>
          <w:rFonts w:ascii="Courier New" w:cs="Courier New" w:eastAsia="Courier New" w:hAnsi="Courier New"/>
          <w:sz w:val="18"/>
          <w:szCs w:val="18"/>
        </w:rPr>
        <w:t xml:space="preserve">| **Escalation memo** | A CMO-ready memo for when a signal needs urgent senior attention: situation, risk, evidence, recommended action. |</w:t>
      </w:r>
    </w:p>
    <w:p>
      <w:pPr>
        <w:pStyle w:val="Heading2"/>
      </w:pPr>
      <w:r>
        <w:rPr>
          <w:b w:val="false"/>
          <w:bCs w:val="false"/>
          <w:i w:val="false"/>
          <w:iCs w:val="false"/>
        </w:rPr>
        <w:t xml:space="preserve">Multi-source analyses (combine several datasets)</w:t>
      </w:r>
    </w:p>
    <w:p>
      <w:pPr>
        <w:spacing w:after="160"/>
      </w:pPr>
      <w:r>
        <w:rPr>
          <w:b w:val="0"/>
          <w:i w:val="0"/>
        </w:rPr>
        <w:t>Each of these takes up to three data sources, and every source slot accepts either a fresh upload or one of your saved datasets. Under each slot you'll see “or choose a saved dataset from your library” — click it, pick a dataset, and it fills that slot. So you can compare your brand against two competitors, or stitch three months of data together, entirely from datasets you've already saved, without re-uploading anything.</w:t>
      </w:r>
    </w:p>
    <w:p>
      <w:r>
        <w:rPr>
          <w:rFonts w:ascii="Courier New" w:cs="Courier New" w:eastAsia="Courier New" w:hAnsi="Courier New"/>
          <w:sz w:val="18"/>
          <w:szCs w:val="18"/>
        </w:rPr>
        <w:t xml:space="preserve">| **Tool** | **What it does** |</w:t>
      </w:r>
    </w:p>
    <w:p>
      <w:r>
        <w:rPr>
          <w:rFonts w:ascii="Courier New" w:cs="Courier New" w:eastAsia="Courier New" w:hAnsi="Courier New"/>
          <w:sz w:val="18"/>
          <w:szCs w:val="18"/>
        </w:rPr>
        <w:t xml:space="preserve">| --- | --- |</w:t>
      </w:r>
    </w:p>
    <w:p>
      <w:r>
        <w:rPr>
          <w:rFonts w:ascii="Courier New" w:cs="Courier New" w:eastAsia="Courier New" w:hAnsi="Courier New"/>
          <w:sz w:val="18"/>
          <w:szCs w:val="18"/>
        </w:rPr>
        <w:t xml:space="preserve">| **Multi-source insight** | Combines up to three data sources into a stakeholder-ready insight brief: headline finding, cross-platform evidence, implications, and a watch list. |</w:t>
      </w:r>
    </w:p>
    <w:p>
      <w:r>
        <w:rPr>
          <w:rFonts w:ascii="Courier New" w:cs="Courier New" w:eastAsia="Courier New" w:hAnsi="Courier New"/>
          <w:sz w:val="18"/>
          <w:szCs w:val="18"/>
        </w:rPr>
        <w:t xml:space="preserve">| **Weekly digest** | A Monday-morning brand digest: what moved last week, what to watch this week, and any signals needing action. |</w:t>
      </w:r>
    </w:p>
    <w:p>
      <w:r>
        <w:rPr>
          <w:rFonts w:ascii="Courier New" w:cs="Courier New" w:eastAsia="Courier New" w:hAnsi="Courier New"/>
          <w:sz w:val="18"/>
          <w:szCs w:val="18"/>
        </w:rPr>
        <w:t xml:space="preserve">| **Competitor pulse** | Analyses conversation around a competitor brand and surfaces their wins, weaknesses, and the opportunities they create for you. |</w:t>
      </w:r>
    </w:p>
    <w:p>
      <w:r>
        <w:rPr>
          <w:rFonts w:ascii="Courier New" w:cs="Courier New" w:eastAsia="Courier New" w:hAnsi="Courier New"/>
          <w:sz w:val="18"/>
          <w:szCs w:val="18"/>
        </w:rPr>
        <w:t xml:space="preserve">| **Theme extraction** | Pulls the top 5–7 conversation themes from one or more datasets — what audiences are actually talking about. |</w:t>
      </w:r>
    </w:p>
    <w:p>
      <w:r>
        <w:rPr>
          <w:rFonts w:ascii="Courier New" w:cs="Courier New" w:eastAsia="Courier New" w:hAnsi="Courier New"/>
          <w:sz w:val="18"/>
          <w:szCs w:val="18"/>
        </w:rPr>
        <w:t xml:space="preserve">| **Campaign performance** | Reads how a named campaign is landing socially: reach, sentiment, audience reaction, and what is and isn't working. |</w:t>
      </w:r>
    </w:p>
    <w:p>
      <w:r>
        <w:rPr>
          <w:rFonts w:ascii="Courier New" w:cs="Courier New" w:eastAsia="Courier New" w:hAnsi="Courier New"/>
          <w:sz w:val="18"/>
          <w:szCs w:val="18"/>
        </w:rPr>
        <w:t>| **Hypothesis testing** | Test a belief against the data. State a hypothesis about your brand, audience, or market and the portal returns a verdict — supported, contradicted, or inconclusive — with evidence on both sides, the gaps the data can't fill, and a recommended next step. Accepts several datasets (and multiple files per slot). |</w:t>
      </w:r>
    </w:p>
    <w:p>
      <w:r>
        <w:rPr>
          <w:rFonts w:ascii="Courier New" w:cs="Courier New" w:eastAsia="Courier New" w:hAnsi="Courier New"/>
          <w:sz w:val="18"/>
          <w:szCs w:val="18"/>
        </w:rPr>
        <w:t xml:space="preserve">| **Executive summary** | A clean, jargon-free one-page brief for VP and C-suite stakeholders who need the picture fast. |</w:t>
      </w:r>
    </w:p>
    <w:p>
      <w:pPr>
        <w:pStyle w:val="Heading2"/>
      </w:pPr>
      <w:r>
        <w:t xml:space="preserve">Benchmarking competitors head-to-head</w:t>
      </w:r>
    </w:p>
    <w:p>
      <w:pPr>
        <w:spacing w:after="160"/>
      </w:pPr>
      <w:r>
        <w:t xml:space="preserve">The Competitive benchmark takes one dataset per brand - yours and up to three rivals - and builds a side-by-side scorecard. It compares share of voice, net sentiment, engagement per post, reach and AVE, and marks who leads on each. The numbers are counted straight from each brand's data, not estimated by the model, so the comparison is as honest as the inputs you give it.</w:t>
      </w:r>
    </w:p>
    <w:p>
      <w:pPr>
        <w:spacing w:after="160"/>
      </w:pPr>
      <w:r>
        <w:t xml:space="preserve">Because a fair fight needs like-for-like inputs, the scorecard checks the datasets before it trusts them. If the brands were pulled over different time windows, from different source types, or in very different volumes, it says so plainly and tells you to read the result as a guide rather than a scoreboard. You can also ask follow-up questions in the report chat - who leads on reach, why sentiment is higher for one brand - and it answers from the exact scorecard figures.</w:t>
      </w:r>
    </w:p>
    <w:p>
      <w:pPr>
        <w:spacing w:after="160"/>
      </w:pPr>
      <w:r>
        <w:rPr>
          <w:b w:val="0"/>
          <w:i w:val="0"/>
        </w:rPr>
        <w:t xml:space="preserve">You don’t need a separate file per brand. If your export already contains every brand in one file — with a column naming the brand on each row — turn on the multi-brand option and the portal splits the file by that column and scores each brand for you, your own brand first. It is the same scorecard and the same comparability checks; it just saves you slicing the data by hand. A misspelt brand name becomes its own column, which is a useful nudge to clean the source.</w:t>
      </w:r>
    </w:p>
    <w:p>
      <w:pPr>
        <w:pStyle w:val="Heading2"/>
      </w:pPr>
      <w:r>
        <w:rPr>
          <w:b w:val="false"/>
          <w:bCs w:val="false"/>
          <w:i w:val="false"/>
          <w:iCs w:val="false"/>
        </w:rPr>
        <w:t xml:space="preserve">Multi-step chains (deeper, sequential analysis)</w:t>
      </w:r>
    </w:p>
    <w:p>
      <w:pPr>
        <w:spacing w:after="160"/>
      </w:pPr>
      <w:r>
        <w:rPr>
          <w:b w:val="false"/>
          <w:bCs w:val="false"/>
          <w:i w:val="false"/>
          <w:iCs w:val="false"/>
        </w:rPr>
        <w:t xml:space="preserve">These run as a sequence of steps where each builds on the previous one — more thorough than a single pass.</w:t>
      </w:r>
    </w:p>
    <w:p>
      <w:r>
        <w:rPr>
          <w:rFonts w:ascii="Courier New" w:cs="Courier New" w:eastAsia="Courier New" w:hAnsi="Courier New"/>
          <w:sz w:val="18"/>
          <w:szCs w:val="18"/>
        </w:rPr>
        <w:t xml:space="preserve">| **Tool** | **What it does** |</w:t>
      </w:r>
    </w:p>
    <w:p>
      <w:r>
        <w:rPr>
          <w:rFonts w:ascii="Courier New" w:cs="Courier New" w:eastAsia="Courier New" w:hAnsi="Courier New"/>
          <w:sz w:val="18"/>
          <w:szCs w:val="18"/>
        </w:rPr>
        <w:t xml:space="preserve">| --- | --- |</w:t>
      </w:r>
    </w:p>
    <w:p>
      <w:r>
        <w:rPr>
          <w:rFonts w:ascii="Courier New" w:cs="Courier New" w:eastAsia="Courier New" w:hAnsi="Courier New"/>
          <w:sz w:val="18"/>
          <w:szCs w:val="18"/>
        </w:rPr>
        <w:t xml:space="preserve">| **Crisis response** | A three-step crisis workflow: triage the signal, analyse its impact, then draft a CMO-ready response. Each step feeds the next. |</w:t>
      </w:r>
    </w:p>
    <w:p>
      <w:r>
        <w:rPr>
          <w:rFonts w:ascii="Courier New" w:cs="Courier New" w:eastAsia="Courier New" w:hAnsi="Courier New"/>
          <w:sz w:val="18"/>
          <w:szCs w:val="18"/>
        </w:rPr>
        <w:t xml:space="preserve">| **Report builder** | The deepest path — a five-step report chain (survey, theme extraction, interrogation, prioritisation, final report) over an enriched data digest that preserves verbatim community voice. Upload one large dataset, or compare distinct sources across up to three slots. |</w:t>
      </w:r>
    </w:p>
    <w:p>
      <w:pPr>
        <w:pStyle w:val="Heading2"/>
      </w:pPr>
      <w:r>
        <w:rPr>
          <w:b w:val="false"/>
          <w:bCs w:val="false"/>
          <w:i w:val="false"/>
          <w:iCs w:val="false"/>
        </w:rPr>
        <w:t xml:space="preserve">Creator intelligence</w:t>
      </w:r>
    </w:p>
    <w:p>
      <w:pPr>
        <w:spacing w:after="160"/>
      </w:pPr>
      <w:r>
        <w:rPr>
          <w:b w:val="false"/>
          <w:bCs w:val="false"/>
          <w:i w:val="false"/>
          <w:iCs w:val="false"/>
        </w:rPr>
        <w:t xml:space="preserve">Creator intelligence is a multi-step chain that reads the people driving a conversation, not just its themes. It maps the top creators by post volume and by engagement (often different people — the loudest account isn't always the most influential), profiles the notable voices and their relationship to the brand, and recommends where partnership or outreach makes sense. Upload a dataset with an author or handle column. One honest limitation to know: the analysis is based on the engagement and activity in your dataset, not on follower or audience size, so it describes who is driving conversation here rather than overall reach — the report flags this where it matters.</w:t>
      </w:r>
    </w:p>
    <w:p>
      <w:pPr>
        <w:pStyle w:val="Heading2"/>
      </w:pPr>
      <w:r>
        <w:rPr>
          <w:b w:val="false"/>
          <w:bCs w:val="false"/>
          <w:i w:val="false"/>
          <w:iCs w:val="false"/>
        </w:rPr>
        <w:t xml:space="preserve">GEO opportunity finder</w:t>
      </w:r>
    </w:p>
    <w:p>
      <w:pPr>
        <w:spacing w:after="160"/>
      </w:pPr>
      <w:r>
        <w:rPr>
          <w:b w:val="false"/>
          <w:bCs w:val="false"/>
          <w:i w:val="false"/>
          <w:iCs w:val="false"/>
        </w:rPr>
        <w:t>Turns social conversation about your brand into AI-search (GEO) opportunities: the questions people are implicitly asking, the queries they would likely type into an AI, where your brand is and is not answer-ready, and what content to build. Queries are inferred from social discussion, not measured search data, so treat them as hypotheses to test against the real engines.</w:t>
      </w:r>
    </w:p>
    <w:p>
      <w:pPr>
        <w:spacing w:after="160"/>
      </w:pPr>
      <w:r>
        <w:t>This report runs across three models — Claude, ChatGPT and Gemini. Each one reads the same social data and then, independently of the other two, works out its own set of likely AI-search queries and writes its own report. No model sees another's queries or conclusions. A final step synthesises the three into the report you read.</w:t>
      </w:r>
    </w:p>
    <w:p>
      <w:pPr>
        <w:spacing w:after="160"/>
      </w:pPr>
      <w:r>
        <w:rPr>
          <w:b w:val="0"/>
          <w:i w:val="0"/>
        </w:rPr>
        <w:t>That independence is the point. Because the models are not shown each other's work, it means something when two or three of them arrive at the same query on their own — and it means something different when only one does.</w:t>
      </w:r>
    </w:p>
    <w:p>
      <w:pPr>
        <w:spacing w:after="160"/>
      </w:pPr>
      <w:r>
        <w:rPr>
          <w:b w:val="0"/>
          <w:i w:val="0"/>
        </w:rPr>
        <w:t>When you reopen a saved GEO report, the synthesis is what leads — but the three individual model reports are kept with it, collapsed beneath. Open them whenever you want to see exactly what each model said before the synthesis merged them. This is the evidence behind any claim that all three agreed, and you should be able to check it rather than take it on trust.</w:t>
      </w:r>
    </w:p>
    <w:p>
      <w:pPr>
        <w:spacing w:after="160"/>
      </w:pPr>
      <w:r>
        <w:rPr>
          <w:b w:val="0"/>
          <w:i w:val="0"/>
        </w:rPr>
        <w:t>The report also carries an Opportunity matrix: one row per AI-search query, with the theme behind it, an opportunity score, an answer-readiness score, the content gap, the asset to build, and which of the three models surfaced it. This is what the priority table and the charts are built from.</w:t>
      </w:r>
    </w:p>
    <w:p>
      <w:pPr>
        <w:spacing w:after="160"/>
      </w:pPr>
      <w:r>
        <w:rPr>
          <w:b w:val="0"/>
          <w:i w:val="0"/>
        </w:rPr>
        <w:t>Read the confidence column carefully, because it means something specific and it is not the model's opinion of itself. It is a count. We check each query in the table against the list of queries each model declared in its own report, and the confidence follows from how many of the three actually raised it: three models is High, two is Medium, one is Low. If a query matches no model's list it is marked Unverified, and you should treat it as unsupported until you have checked it.</w:t>
      </w:r>
    </w:p>
    <w:p>
      <w:pPr>
        <w:spacing w:after="160"/>
      </w:pPr>
      <w:r>
        <w:rPr>
          <w:b w:val="0"/>
          <w:i w:val="0"/>
        </w:rPr>
        <w:t>Expect a mix, and expect most rows to be Medium or Low. That is the tool working, not the tool failing. Three independent systems rarely phrase the same question the same way, so High is genuinely rare and worth paying attention to when it appears. A Medium row means two models reached the same need without conferring, which is a solid basis for building. A Low row is one model's hypothesis: interesting, cheap to test, not yet a finding.</w:t>
      </w:r>
    </w:p>
    <w:p>
      <w:pPr>
        <w:spacing w:after="160"/>
      </w:pPr>
      <w:r>
        <w:rPr>
          <w:b w:val="0"/>
          <w:i w:val="0"/>
        </w:rPr>
        <w:t>One habit worth forming: the highest-confidence row is often not the highest-opportunity row. A query all three models raised may score lower on opportunity than one only ChatGPT surfaced. Those are different questions — how big is this, and how sure are we — and the table deliberately keeps them apart so you can decide which to act on first rather than having the decision made for you.</w:t>
      </w:r>
    </w:p>
    <w:p>
      <w:pPr>
        <w:pStyle w:val="Heading2"/>
      </w:pPr>
      <w:r>
        <w:t xml:space="preserve">Perplexity, and checking your report live</w:t>
      </w:r>
    </w:p>
    <w:p>
      <w:pPr>
        <w:spacing w:after="160"/>
      </w:pPr>
      <w:r>
        <w:t xml:space="preserve">Perplexity is a fourth AI model, and it appears in the model switcher on one tool only - the GEO Opportunity Finder. It is kept off everything else on purpose. The other three models read only the data you give them; Perplexity is search-grounded, which means it consults the live web as it answers. That is a liability for a grounded analysis, where the whole promise is that the read comes from your data and nothing else - but it is exactly what you want when the subject is AI-search itself. So on GEO you can pick Perplexity as the model that frames and writes the report, and it stays out of the way everywhere else. It is not one of the three consensus models, and it does not change the confidence count.</w:t>
      </w:r>
    </w:p>
    <w:p>
      <w:pPr>
        <w:spacing w:after="160"/>
      </w:pPr>
      <w:r>
        <w:t xml:space="preserve">Every GEO report also carries a </w:t>
      </w:r>
      <w:r>
        <w:rPr>
          <w:b/>
        </w:rPr>
        <w:t xml:space="preserve">Check top queries live on Perplexity</w:t>
      </w:r>
      <w:r>
        <w:t xml:space="preserve"> button. Where the report's answer-readiness scores are inferred from social data, this measures them: it runs your top queries through Perplexity and shows what the engine actually answers right now - whether your brand is </w:t>
      </w:r>
      <w:r>
        <w:rPr>
          <w:b/>
        </w:rPr>
        <w:t xml:space="preserve">Present and cited, Mentioned, Cited only, or Absent</w:t>
      </w:r>
      <w:r>
        <w:t xml:space="preserve"> - alongside the sources it pulled, with your own sites tagged. The measured verdict sits next to the inferred score so the gap is obvious. Treat it as a dated snapshot from one engine: AI answers move and vary between runs, so it is a live probe, not a fixed metric. It saves with the report and is there when you reopen it.</w:t>
      </w:r>
    </w:p>
    <w:p>
      <w:pPr>
        <w:spacing w:after="160"/>
      </w:pPr>
      <w:r>
        <w:t xml:space="preserve">And you can benchmark it. On a GEO report, the </w:t>
      </w:r>
      <w:r>
        <w:rPr>
          <w:b/>
        </w:rPr>
        <w:t xml:space="preserve">Benchmark share of answer</w:t>
      </w:r>
      <w:r>
        <w:t xml:space="preserve"> button runs your top queries live through Perplexity for you and for named competitors, and reports how often each brand shows up in the answers - a share-of-answer leaderboard for who owns the AI answers in your category right now. Because every brand is scored against the same queries in the same run, it is a genuine like-for-like comparison, though still the same dated one-engine snapshot.</w:t>
      </w:r>
    </w:p>
    <w:p>
      <w:pPr>
        <w:pStyle w:val="Heading2"/>
      </w:pPr>
      <w:r>
        <w:rPr>
          <w:b w:val="0"/>
          <w:i w:val="0"/>
        </w:rPr>
        <w:t>Channel, content &amp; comments</w:t>
      </w:r>
    </w:p>
    <w:p>
      <w:pPr>
        <w:spacing w:after="160"/>
      </w:pPr>
      <w:r>
        <w:rPr>
          <w:b w:val="0"/>
          <w:i w:val="0"/>
        </w:rPr>
        <w:t>Three tools that read the shape of your data, not just its words. All three work from engagement, so give them an export that carries an engagement or likes column — without one they will tell you plainly that impact can't be measured rather than guess.</w:t>
      </w:r>
    </w:p>
    <w:p>
      <w:pPr>
        <w:spacing w:after="160"/>
      </w:pPr>
      <w:r>
        <w:rPr>
          <w:b w:val="0"/>
          <w:i w:val="0"/>
        </w:rPr>
        <w:t>Platform priorities ranks the platforms in your data by how much engagement each earns PER POST, not by how loud each is. The report leads with where volume and impact diverge — the platform that is loud but low-impact, and the quiet one that punches above its weight — because those are usually different channels, and knowing which is which is the point. Platforms with too little data to judge are named and held out of the ranking rather than scored on a fluke. If your source meters engagement on only some posts (Exorde does), it compares platforms on that metered subset and says so, and it names any platform it can see but cannot measure.</w:t>
      </w:r>
    </w:p>
    <w:p>
      <w:pPr>
        <w:spacing w:after="160"/>
      </w:pPr>
      <w:r>
        <w:rPr>
          <w:b w:val="0"/>
          <w:i w:val="0"/>
        </w:rPr>
        <w:t>Content analysis does the same for content formats — text, image, video, and so on — ranking them by engagement per post and separating what is common from what performs. It quotes real high-performing posts as examples. It needs a content-type column in your export.</w:t>
      </w:r>
    </w:p>
    <w:p>
      <w:pPr>
        <w:spacing w:after="160"/>
      </w:pPr>
      <w:r>
        <w:rPr>
          <w:b w:val="0"/>
          <w:i w:val="0"/>
        </w:rPr>
        <w:t>Comment analysis reads what audiences say back in the comments: the recurring themes, the sentiment balance, the questions and objections people raise (a ready-made FAQ and service signal), and the standout replies quoted verbatim. It is built for comment-level exports — each row a comment, with a comment-text column, such as a ViralMoment comment export. Hand it post-level data instead and it will say plainly that it is reading posts, not replies.</w:t>
      </w:r>
    </w:p>
    <w:p>
      <w:pPr>
        <w:spacing w:after="160"/>
      </w:pPr>
      <w:r>
        <w:rPr>
          <w:b w:val="0"/>
          <w:i w:val="0"/>
        </w:rPr>
        <w:t>Each of the three produces charts as well as the written report — a priority matrix that plots volume against engagement per post, a format-performance chart, and a themes-and-sentiment view of the comments.</w:t>
      </w:r>
    </w:p>
    <w:p>
      <w:pPr>
        <w:pStyle w:val="Heading2"/>
      </w:pPr>
      <w:r>
        <w:rPr>
          <w:b w:val="false"/>
          <w:bCs w:val="false"/>
          <w:i w:val="false"/>
          <w:iCs w:val="false"/>
        </w:rPr>
        <w:t xml:space="preserve">Visual intelligence</w:t>
      </w:r>
    </w:p>
    <w:p>
      <w:pPr>
        <w:spacing w:after="160"/>
      </w:pPr>
      <w:r>
        <w:rPr>
          <w:b w:val="false"/>
          <w:bCs w:val="false"/>
          <w:i w:val="false"/>
          <w:iCs w:val="false"/>
        </w:rPr>
        <w:t xml:space="preserve">Visual intelligence reads what the images in a conversation actually show - which brands appear alongside yours, and the objects, scenes and settings they show up in. It works from the image-recognition tags a source has already produced (for example YouScan's Image brands, objects, scenes, type and people columns); the portal does not run its own image model or store the pictures themselves. Upload a dataset that carries those columns and it maps brand co-presence - separating partners and sponsors from rivals from incidental appearances - and shows the objects and settings the brand is pictured in.</w:t>
      </w:r>
    </w:p>
    <w:p>
      <w:pPr>
        <w:spacing w:after="160"/>
      </w:pPr>
      <w:r>
        <w:rPr>
          <w:b w:val="false"/>
          <w:bCs w:val="false"/>
          <w:i w:val="false"/>
          <w:iCs w:val="false"/>
        </w:rPr>
        <w:t xml:space="preserve">The report leads with a co-presence table and a role-coloured chart (your brand, partners, rivals, other), plus context chips for the dominant objects, scenes, image types and people. Every figure is labelled directional: it is the source's automated tagging, covers only the posts that carried a tagged image, and is a steer rather than a precise count.</w:t>
      </w:r>
    </w:p>
    <w:p>
      <w:pPr>
        <w:pStyle w:val="Heading2"/>
      </w:pPr>
      <w:r>
        <w:rPr>
          <w:b w:val="false"/>
          <w:bCs w:val="false"/>
          <w:i w:val="false"/>
          <w:iCs w:val="false"/>
        </w:rPr>
        <w:t xml:space="preserve">Media monitoring - reach &amp; AVE</w:t>
      </w:r>
    </w:p>
    <w:p>
      <w:pPr>
        <w:spacing w:after="160"/>
      </w:pPr>
      <w:r>
        <w:t xml:space="preserve">Media coverage can be pulled directly from Truescope, not only uploaded. Like the Exorde social feed, the Convosphere team runs the pull for you: the matching traditional and broadcast coverage - press, online, TV and radio - lands straight in your Data library as a dataset, ready to analyse, and feeds exactly the reach and AVE handling described here.</w:t>
      </w:r>
    </w:p>
    <w:p>
      <w:pPr>
        <w:spacing w:after="160"/>
      </w:pPr>
      <w:r>
        <w:rPr>
          <w:b w:val="false"/>
          <w:bCs w:val="false"/>
          <w:i w:val="false"/>
          <w:iCs w:val="false"/>
        </w:rPr>
        <w:t xml:space="preserve">Traditional-media exports (for example Truescope) drop straight into the portal as a dataset: outlets map as the channel, media type as the format, and sentiment, date, country and author resolve on their own. The difference from social data is the impact metric. Print, radio, TV and online-news items carry little or no social engagement, so the portal ranks outlets by audience/reach - the figure the monitoring source supplies - rather than by engagement per post. You get total and per-item reach, the outlets that reach the most people, and a reach-efficiency read.</w:t>
      </w:r>
    </w:p>
    <w:p>
      <w:pPr>
        <w:spacing w:after="160"/>
      </w:pPr>
      <w:r>
        <w:rPr>
          <w:b w:val="false"/>
          <w:bCs w:val="false"/>
          <w:i w:val="false"/>
          <w:iCs w:val="false"/>
        </w:rPr>
        <w:t xml:space="preserve">AVE (advertising value equivalent) is carried through and totalled by outlet, but always as the source's own figure and never as proof of impact. AVE is an industry-contested metric - the Barcelona Principles reject it as a measure of value - and the portal says so on the report and on the What to trust page. Report it as the vendor's number, not as ROI.</w:t>
      </w:r>
    </w:p>
    <w:p>
      <w:pPr>
        <w:spacing w:after="160"/>
      </w:pPr>
      <w:r>
        <w:rPr>
          <w:b w:val="false"/>
          <w:bCs w:val="false"/>
          <w:i w:val="false"/>
          <w:iCs w:val="false"/>
        </w:rPr>
        <w:t xml:space="preserve">One more media-specific detail: some sources label a large share of coverage “Mixed” - genuinely both positive and negative, which is not the same as neutral. The portal now shows Mixed as its own sentiment bucket, with its own slice on the chart, instead of folding it into Neutral, so the sentiment split reads true. Mixed is kept out of the positive/neutral/negative average because it is both, not middling.</w:t>
      </w:r>
    </w:p>
    <w:p>
      <w:pPr>
        <w:pStyle w:val="Heading2"/>
      </w:pPr>
      <w:r>
        <w:rPr>
          <w:b w:val="0"/>
          <w:i w:val="0"/>
        </w:rPr>
        <w:t>Corporate reputation</w:t>
      </w:r>
    </w:p>
    <w:p>
      <w:pPr>
        <w:spacing w:after="160"/>
      </w:pPr>
      <w:r>
        <w:rPr>
          <w:b w:val="0"/>
          <w:i w:val="0"/>
        </w:rPr>
        <w:t>Assesses how the organisation itself is regarded — not its products — against reputation pillars such as leadership, ethics and governance, workplace, citizenship and ESG, financial performance, and innovation. If your team already tracks a set of pillars, paste them in and the review maps to yours exactly, named as you name them; leave the box blank and it surfaces the pillars the data actually supports. Each pillar is rated from strong to exposed with verbatim evidence, and the report is honest about which pillars the data barely touched, listing those as coverage gaps rather than as weak scores.</w:t>
      </w:r>
    </w:p>
    <w:p>
      <w:pPr>
        <w:spacing w:after="160"/>
      </w:pPr>
      <w:r>
        <w:rPr>
          <w:b w:val="0"/>
          <w:i w:val="0"/>
        </w:rPr>
        <w:t>It rolls the pillars up into a single Reputation Index. The Index is computed from the per-pillar evidence, weighted by how much data supports each — it is never asserted by the model — and it is shown with an uncertainty band that widens when confidence is low. When it shows a range instead of a single number, read it as a direction, not a precise score; and it refuses to resolve at all when fewer than two pillars have real evidence behind them.</w:t>
      </w:r>
    </w:p>
    <w:p>
      <w:pPr>
        <w:pStyle w:val="Heading2"/>
      </w:pPr>
      <w:r>
        <w:rPr>
          <w:b w:val="0"/>
          <w:i w:val="0"/>
        </w:rPr>
        <w:t xml:space="preserve">Brand health tracker</w:t>
      </w:r>
    </w:p>
    <w:p>
      <w:pPr>
        <w:spacing w:after="160"/>
      </w:pPr>
      <w:r>
        <w:rPr>
          <w:b w:val="0"/>
          <w:i w:val="0"/>
        </w:rPr>
        <w:t xml:space="preserve">Brand health tracker reads brand equity from the conversation and scores it across five fixed pillars — Trust, Innovation, Quality, Value and Advocacy. Each pillar is scored as themed sentiment: the model classifies which posts speak to a pillar and how they feel, and the portal computes the score from those posts, so the number is counted from the data rather than asserted. It rolls the five up into a single Brand Health Index, shown banded (Strong / Healthy / Mixed / Fragile / At-risk) rather than as a false-precise point.</w:t>
      </w:r>
    </w:p>
    <w:p>
      <w:pPr>
        <w:spacing w:after="160"/>
      </w:pPr>
      <w:r>
        <w:rPr>
          <w:b w:val="0"/>
          <w:i w:val="0"/>
        </w:rPr>
        <w:t xml:space="preserve">Because a score is only as good as its coverage, the tracker is honest about thin evidence. A pillar backed by too few mentions is flagged as a coverage gap rather than scored confidently; the Index confidence is capped when overall coverage is low; and the Index is always shown with a band that widens as confidence falls. A pillar the data barely touches will say so instead of inventing a verdict.</w:t>
      </w:r>
    </w:p>
    <w:p>
      <w:pPr>
        <w:spacing w:after="160"/>
      </w:pPr>
      <w:r>
        <w:rPr>
          <w:b w:val="0"/>
          <w:i w:val="0"/>
        </w:rPr>
        <w:t xml:space="preserve">Every run is captured as a dated snapshot for the Benchmark tracker, so brand health can be watched over time alongside your competitive and GEO benchmarks. Teams that weight the pillars differently can commission a custom tracker prompt with their own pillar set and weights.</w:t>
      </w:r>
    </w:p>
    <w:p>
      <w:pPr>
        <w:spacing w:after="160"/>
      </w:pPr>
      <w:r>
        <w:rPr>
          <w:b w:val="0"/>
          <w:i w:val="0"/>
        </w:rPr>
        <w:t xml:space="preserve">A note that applies here and to every sentiment-based read: the portal now separates organic posts from amplification. Where a dataset is heavy with retweets or reposts, it reports the organic net sentiment — what people actually wrote — so one post going viral through resharing cannot inflate the score. The amplified share is shown so you can see how much of the volume was echo rather than original voice.</w:t>
      </w:r>
    </w:p>
    <w:p>
      <w:pPr>
        <w:pStyle w:val="Heading2"/>
      </w:pPr>
      <w:r>
        <w:rPr>
          <w:b w:val="0"/>
          <w:i w:val="0"/>
        </w:rPr>
        <w:t xml:space="preserve">Storytelling</w:t>
      </w:r>
    </w:p>
    <w:p>
      <w:pPr>
        <w:spacing w:after="160"/>
      </w:pPr>
      <w:r>
        <w:rPr>
          <w:b w:val="0"/>
          <w:i w:val="0"/>
        </w:rPr>
        <w:t xml:space="preserve">Storytelling reads a report and builds the best way to TELL it. Choose an audience — a CMO, the brand team, an agency, or the board — and it recommends the narrative arc that fits the finding (for example Situation, Complication, Resolution), broken into beats. Each beat pairs the point it makes with the single strongest piece of proof behind it — a verbatim quote or a specific number — and it names the tension the story has to carry honestly rather than letting the arc become spin.</w:t>
      </w:r>
    </w:p>
    <w:p>
      <w:pPr>
        <w:spacing w:after="160"/>
      </w:pPr>
      <w:r>
        <w:rPr>
          <w:b w:val="0"/>
          <w:i w:val="0"/>
        </w:rPr>
        <w:t xml:space="preserve">Below the story spine it lays out a proof gallery: a set of quote cards and stat cards — the best evidence across the whole report — ready to drop into a deck. Every quote is verbatim from your data and every number comes from the analysis, never invented; where a beat has no solid evidence it says so rather than manufacturing a proof point. Run it from the library, or add it as the final lens on a report you have built up.</w:t>
      </w:r>
    </w:p>
    <w:p>
      <w:pPr>
        <w:pStyle w:val="Heading2"/>
      </w:pPr>
      <w:r>
        <w:rPr>
          <w:b w:val="0"/>
          <w:i w:val="0"/>
        </w:rPr>
        <w:t>Discover — ask the data</w:t>
      </w:r>
    </w:p>
    <w:p>
      <w:pPr>
        <w:spacing w:after="160"/>
      </w:pPr>
      <w:r>
        <w:rPr>
          <w:b w:val="0"/>
          <w:i w:val="0"/>
        </w:rPr>
        <w:t>Discover is the tool for working a question at a time. Instead of a fixed report, you type a specific question — “What are people saying about our pricing?”, “Which complaints repeat?” — and it answers just that, grounded in the data, with real quotes as evidence and an honest note on anything the data can’t tell you. Each answer ends with a few follow-up questions the data could actually support, and you can keep asking them in the follow-up box on the report — so it works like a conversation with your dataset rather than a one-shot summary.</w:t>
      </w:r>
    </w:p>
    <w:p>
      <w:pPr>
        <w:pStyle w:val="Heading2"/>
      </w:pPr>
      <w:r>
        <w:rPr>
          <w:b w:val="0"/>
          <w:i w:val="0"/>
        </w:rPr>
        <w:t>Custom prompts</w:t>
      </w:r>
    </w:p>
    <w:p>
      <w:pPr>
        <w:spacing w:after="160"/>
      </w:pPr>
      <w:r>
        <w:rPr>
          <w:b w:val="0"/>
          <w:i w:val="0"/>
        </w:rPr>
        <w:t>You can write your own prompt and save it to your team's library with the Create custom prompt card, which sits on its own line under a My custom prompts section at the top of the library. Custom prompts are private to your workspace: your team sees them, no other client does, and if you work across several client workspaces you will only ever see the prompts belonging to the one you are currently in.</w:t>
      </w:r>
    </w:p>
    <w:p>
      <w:pPr>
        <w:pStyle w:val="Heading1"/>
      </w:pPr>
      <w:r>
        <w:rPr>
          <w:b w:val="false"/>
          <w:bCs w:val="false"/>
          <w:i w:val="false"/>
          <w:iCs w:val="false"/>
        </w:rPr>
        <w:t xml:space="preserve">5. Making Analyses Brand-Aware</w:t>
      </w:r>
    </w:p>
    <w:p>
      <w:pPr>
        <w:spacing w:after="160"/>
      </w:pPr>
      <w:r>
        <w:rPr>
          <w:b w:val="false"/>
          <w:bCs w:val="false"/>
          <w:i w:val="false"/>
          <w:iCs w:val="false"/>
        </w:rPr>
        <w:t xml:space="preserve">The portal produces sharper, more relevant output when it understands the brand behind the data. That's what the Strategy Brief Upload page is for.</w:t>
      </w:r>
    </w:p>
    <w:p>
      <w:pPr>
        <w:pStyle w:val="Heading2"/>
      </w:pPr>
      <w:r>
        <w:rPr>
          <w:b w:val="false"/>
          <w:bCs w:val="false"/>
          <w:i w:val="false"/>
          <w:iCs w:val="false"/>
        </w:rPr>
        <w:t xml:space="preserve">Strategy briefs</w:t>
      </w:r>
    </w:p>
    <w:p>
      <w:pPr>
        <w:spacing w:after="160"/>
      </w:pPr>
      <w:r>
        <w:rPr>
          <w:b w:val="false"/>
          <w:bCs w:val="false"/>
          <w:i w:val="false"/>
          <w:iCs w:val="false"/>
        </w:rPr>
        <w:t xml:space="preserve">Upload a brand's strategy document and the portal distills it into a concise profile — overview, objectives, tone, priority audiences, sensitivities, and active campaigns. Once a brief is saved and enabled, every analysis you run for that brand quietly takes it into account, so outputs reflect the brand's actual priorities and avoid its sensitivities.</w:t>
      </w:r>
    </w:p>
    <w:p>
      <w:pPr>
        <w:pStyle w:val="Heading2"/>
      </w:pPr>
      <w:r>
        <w:rPr>
          <w:b w:val="false"/>
          <w:bCs w:val="false"/>
          <w:i w:val="false"/>
          <w:iCs w:val="false"/>
        </w:rPr>
        <w:t xml:space="preserve">Multiple named briefs per brand</w:t>
      </w:r>
    </w:p>
    <w:p>
      <w:pPr>
        <w:spacing w:after="160"/>
      </w:pPr>
      <w:r>
        <w:rPr>
          <w:b w:val="false"/>
          <w:bCs w:val="false"/>
          <w:i w:val="false"/>
          <w:iCs w:val="false"/>
        </w:rPr>
        <w:t xml:space="preserve">A brand can hold more than one named brief — for example a </w:t>
      </w:r>
      <w:r>
        <w:rPr>
          <w:b w:val="false"/>
          <w:bCs w:val="false"/>
          <w:i/>
          <w:iCs/>
        </w:rPr>
        <w:t xml:space="preserve">Default</w:t>
      </w:r>
      <w:r>
        <w:rPr>
          <w:b w:val="false"/>
          <w:bCs w:val="false"/>
          <w:i w:val="false"/>
          <w:iCs w:val="false"/>
        </w:rPr>
        <w:t xml:space="preserve">, a </w:t>
      </w:r>
      <w:r>
        <w:rPr>
          <w:b w:val="false"/>
          <w:bCs w:val="false"/>
          <w:i/>
          <w:iCs/>
        </w:rPr>
        <w:t xml:space="preserve">Crisis</w:t>
      </w:r>
      <w:r>
        <w:rPr>
          <w:b w:val="false"/>
          <w:bCs w:val="false"/>
          <w:i w:val="false"/>
          <w:iCs w:val="false"/>
        </w:rPr>
        <w:t xml:space="preserve">, and a </w:t>
      </w:r>
      <w:r>
        <w:rPr>
          <w:b w:val="false"/>
          <w:bCs w:val="false"/>
          <w:i/>
          <w:iCs/>
        </w:rPr>
        <w:t xml:space="preserve">Discovery</w:t>
      </w:r>
      <w:r>
        <w:rPr>
          <w:b w:val="false"/>
          <w:bCs w:val="false"/>
          <w:i w:val="false"/>
          <w:iCs w:val="false"/>
        </w:rPr>
        <w:t xml:space="preserve"> brief, each framing analysis differently. Create a new one with </w:t>
      </w:r>
      <w:r>
        <w:rPr>
          <w:b/>
          <w:bCs/>
          <w:i w:val="false"/>
          <w:iCs w:val="false"/>
        </w:rPr>
        <w:t xml:space="preserve">New brief</w:t>
      </w:r>
      <w:r>
        <w:rPr>
          <w:b w:val="false"/>
          <w:bCs w:val="false"/>
          <w:i w:val="false"/>
          <w:iCs w:val="false"/>
        </w:rPr>
        <w:t xml:space="preserve"> on the Strategy Brief Upload page.</w:t>
      </w:r>
    </w:p>
    <w:p>
      <w:pPr>
        <w:spacing w:after="160"/>
      </w:pPr>
      <w:r>
        <w:rPr>
          <w:b w:val="false"/>
          <w:bCs w:val="false"/>
          <w:i w:val="false"/>
          <w:iCs w:val="false"/>
        </w:rPr>
        <w:t xml:space="preserve">When a brand has more than one brief, a small brief selector appears next to the brand context on the run screen, so you can choose which brief frames a given run. If a brand has only the one brief, there's nothing to choose and the selector stays hidden.</w:t>
      </w:r>
    </w:p>
    <w:p>
      <w:pPr>
        <w:spacing w:after="160"/>
      </w:pPr>
      <w:r>
        <w:rPr>
          <w:b w:val="false"/>
          <w:bCs w:val="false"/>
          <w:i w:val="false"/>
          <w:iCs w:val="false"/>
        </w:rPr>
        <w:t xml:space="preserve">Projects work the same way, so exploratory work can carry its own named briefs independent of any single brand.</w:t>
      </w:r>
    </w:p>
    <w:p>
      <w:pPr>
        <w:pStyle w:val="Heading2"/>
      </w:pPr>
      <w:r>
        <w:rPr>
          <w:b w:val="false"/>
          <w:bCs w:val="false"/>
          <w:i w:val="false"/>
          <w:iCs w:val="false"/>
        </w:rPr>
        <w:t xml:space="preserve">Adding a brand logo</w:t>
      </w:r>
    </w:p>
    <w:p>
      <w:pPr>
        <w:spacing w:after="160"/>
      </w:pPr>
      <w:r>
        <w:rPr>
          <w:b w:val="false"/>
          <w:bCs w:val="false"/>
          <w:i w:val="false"/>
          <w:iCs w:val="false"/>
        </w:rPr>
        <w:t xml:space="preserve">You can give each brand its own logo from brand management: click the small image box next to a brand name and upload a PNG, JPG, or SVG (keep it under about 500KB). The logo is stored with the brand and appears wherever that brand is shown. Brand management is the place to add or change a logo.</w:t>
      </w:r>
    </w:p>
    <w:p>
      <w:pPr>
        <w:pStyle w:val="Heading1"/>
      </w:pPr>
      <w:r>
        <w:rPr>
          <w:b w:val="false"/>
          <w:bCs w:val="false"/>
          <w:i w:val="false"/>
          <w:iCs w:val="false"/>
        </w:rPr>
        <w:t xml:space="preserve">6. Exporting &amp; Sharing Outputs</w:t>
      </w:r>
    </w:p>
    <w:p>
      <w:pPr>
        <w:spacing w:after="160"/>
      </w:pPr>
      <w:r>
        <w:rPr>
          <w:b w:val="false"/>
          <w:bCs w:val="false"/>
          <w:i w:val="false"/>
          <w:iCs w:val="false"/>
        </w:rPr>
        <w:t xml:space="preserve">Every analysis output can leave the portal in the format your stakeholders expect:</w:t>
      </w:r>
    </w:p>
    <w:p>
      <w:pPr>
        <w:pStyle w:val="ListParagraph"/>
        <w:numPr>
          <w:ilvl w:val="0"/>
          <w:numId w:val="2"/>
        </w:numPr>
      </w:pPr>
      <w:r>
        <w:rPr>
          <w:b/>
          <w:bCs/>
          <w:i w:val="false"/>
          <w:iCs w:val="false"/>
        </w:rPr>
        <w:t xml:space="preserve">Copy — </w:t>
      </w:r>
      <w:r>
        <w:rPr>
          <w:b w:val="false"/>
          <w:bCs w:val="false"/>
          <w:i w:val="false"/>
          <w:iCs w:val="false"/>
        </w:rPr>
        <w:t xml:space="preserve">lift the text straight into an email, doc, or chat.</w:t>
      </w:r>
    </w:p>
    <w:p>
      <w:pPr>
        <w:pStyle w:val="ListParagraph"/>
        <w:numPr>
          <w:ilvl w:val="0"/>
          <w:numId w:val="2"/>
        </w:numPr>
      </w:pPr>
      <w:r>
        <w:rPr>
          <w:b/>
          <w:bCs/>
          <w:i w:val="false"/>
          <w:iCs w:val="false"/>
        </w:rPr>
        <w:t xml:space="preserve">Download PPTX — </w:t>
      </w:r>
      <w:r>
        <w:rPr>
          <w:b w:val="false"/>
          <w:bCs w:val="false"/>
          <w:i w:val="false"/>
          <w:iCs w:val="false"/>
        </w:rPr>
        <w:t xml:space="preserve">a branded PowerPoint, ready to present or drop into a larger deck. Use the template picker next to the button to choose how it looks (see below).</w:t>
      </w:r>
    </w:p>
    <w:p>
      <w:pPr>
        <w:pStyle w:val="ListParagraph"/>
        <w:numPr>
          <w:ilvl w:val="0"/>
          <w:numId w:val="2"/>
        </w:numPr>
      </w:pPr>
      <w:r>
        <w:rPr>
          <w:b/>
          <w:bCs/>
          <w:i w:val="false"/>
          <w:iCs w:val="false"/>
        </w:rPr>
        <w:t xml:space="preserve">Download PDF — </w:t>
      </w:r>
      <w:r>
        <w:rPr>
          <w:b w:val="false"/>
          <w:bCs w:val="false"/>
          <w:i w:val="false"/>
          <w:iCs w:val="false"/>
        </w:rPr>
        <w:t xml:space="preserve">a clean, shareable document. It opens with a branded Convosphere cover page (swirl design, your report title, brand and date), so the PDF matches the same look as the Convosphere template deck.</w:t>
      </w:r>
    </w:p>
    <w:p>
      <w:pPr>
        <w:pStyle w:val="ListParagraph"/>
        <w:numPr>
          <w:ilvl w:val="0"/>
          <w:numId w:val="2"/>
        </w:numPr>
      </w:pPr>
      <w:r>
        <w:rPr>
          <w:b/>
          <w:bCs/>
          <w:i w:val="false"/>
          <w:iCs w:val="false"/>
        </w:rPr>
        <w:t xml:space="preserve">Download source data (CSV) — </w:t>
      </w:r>
      <w:r>
        <w:rPr>
          <w:b w:val="false"/>
          <w:bCs w:val="false"/>
          <w:i w:val="false"/>
          <w:iCs w:val="false"/>
        </w:rPr>
        <w:t xml:space="preserve">the underlying data behind the analysis, for your own records or further work.</w:t>
      </w:r>
    </w:p>
    <w:p>
      <w:pPr>
        <w:spacing w:after="160"/>
      </w:pPr>
      <w:r>
        <w:rPr>
          <w:b w:val="false"/>
          <w:bCs w:val="false"/>
          <w:i w:val="false"/>
          <w:iCs w:val="false"/>
        </w:rPr>
        <w:t xml:space="preserve">Exports carry your organisation's branding (name, logo, footer) as configured for your workspace, so what you hand to stakeholders looks like it came from your team.</w:t>
      </w:r>
    </w:p>
    <w:p>
      <w:pPr>
        <w:spacing w:after="160"/>
      </w:pPr>
      <w:r>
        <w:t>If the report has a Convosphere analyst view that an analyst has reviewed and saved, it is the first section of the export. The human read leads the deck, not the AI.</w:t>
      </w:r>
    </w:p>
    <w:p>
      <w:pPr>
        <w:spacing w:after="160"/>
      </w:pPr>
      <w:r>
        <w:rPr>
          <w:b w:val="0"/>
          <w:i w:val="0"/>
        </w:rPr>
        <w:t>An analyst view that is still an unreviewed AI draft is deliberately left OUT of PowerPoint and PDF exports. The export still runs — you are never blocked — but the draft does not travel with it. The analyst view is the one part of the report that is explicitly not AI, so nothing goes to a client under that heading until a person has stood behind it. The report screen tells you when a draft is being held back.</w:t>
      </w:r>
    </w:p>
    <w:p>
      <w:pPr>
        <w:pStyle w:val="Heading2"/>
      </w:pPr>
      <w:r>
        <w:rPr>
          <w:b w:val="false"/>
          <w:bCs w:val="false"/>
          <w:i w:val="false"/>
          <w:iCs w:val="false"/>
        </w:rPr>
        <w:t xml:space="preserve">Choosing a PowerPoint template</w:t>
      </w:r>
    </w:p>
    <w:p>
      <w:pPr>
        <w:spacing w:after="160"/>
      </w:pPr>
      <w:r>
        <w:rPr>
          <w:b w:val="false"/>
          <w:bCs w:val="false"/>
          <w:i w:val="false"/>
          <w:iCs w:val="false"/>
        </w:rPr>
        <w:t xml:space="preserve">Next to Download PPTX there is a small template picker with two choices:</w:t>
      </w:r>
    </w:p>
    <w:p>
      <w:pPr>
        <w:pStyle w:val="ListParagraph"/>
        <w:numPr>
          <w:ilvl w:val="0"/>
          <w:numId w:val="2"/>
        </w:numPr>
      </w:pPr>
      <w:r>
        <w:rPr>
          <w:b/>
          <w:bCs/>
          <w:i w:val="false"/>
          <w:iCs w:val="false"/>
        </w:rPr>
        <w:t xml:space="preserve">Standard (navy) — </w:t>
      </w:r>
      <w:r>
        <w:rPr>
          <w:b w:val="false"/>
          <w:bCs w:val="false"/>
          <w:i w:val="false"/>
          <w:iCs w:val="false"/>
        </w:rPr>
        <w:t xml:space="preserve">a clean, navy-and-teal deck generated for your report. Good for a quick, self-contained export.</w:t>
      </w:r>
    </w:p>
    <w:p>
      <w:pPr>
        <w:pStyle w:val="ListParagraph"/>
        <w:numPr>
          <w:ilvl w:val="0"/>
          <w:numId w:val="2"/>
        </w:numPr>
      </w:pPr>
      <w:r>
        <w:rPr>
          <w:b/>
          <w:bCs/>
          <w:i w:val="false"/>
          <w:iCs w:val="false"/>
        </w:rPr>
        <w:t xml:space="preserve">Convosphere template — </w:t>
      </w:r>
      <w:r>
        <w:rPr>
          <w:b w:val="false"/>
          <w:bCs w:val="false"/>
          <w:i w:val="false"/>
          <w:iCs w:val="false"/>
        </w:rPr>
        <w:t xml:space="preserve">your report dropped into the real Convosphere capabilities deck. You get the branded swirl cover with your report title, a slide for each section of the analysis in the Convosphere style, and the standard Convosphere credentials slides (languages, tools, services, methodology, case studies) following as an appendix. Use this when you want the export to look like a polished Convosphere deliverable.</w:t>
      </w:r>
    </w:p>
    <w:p>
      <w:pPr>
        <w:spacing w:after="160"/>
      </w:pPr>
      <w:r>
        <w:rPr>
          <w:b w:val="false"/>
          <w:bCs w:val="false"/>
          <w:i w:val="false"/>
          <w:iCs w:val="false"/>
        </w:rPr>
        <w:t xml:space="preserve">Tip: the Convosphere template puts each section of your report on its own slide. If a single section is very long, that slide can get dense — so for the cleanest decks, prefer reports with clear, reasonably sized sections (most analysis tools already produce these).</w:t>
      </w:r>
    </w:p>
    <w:p>
      <w:pPr>
        <w:spacing w:after="160"/>
      </w:pPr>
      <w:r>
        <w:rPr>
          <w:b w:val="false"/>
          <w:bCs w:val="false"/>
          <w:i w:val="false"/>
          <w:iCs w:val="false"/>
        </w:rPr>
        <w:t xml:space="preserve">However you export, the branding stays consistent: the Convosphere template deck and the PDF now share the same cover look (swirl design, navy and teal, your title and date), so a PDF and a PowerPoint of the same report look like they belong together.</w:t>
      </w:r>
    </w:p>
    <w:p>
      <w:pPr>
        <w:pStyle w:val="Heading2"/>
      </w:pPr>
      <w:r>
        <w:t xml:space="preserve">Key signals: the headline of every report</w:t>
      </w:r>
    </w:p>
    <w:p>
      <w:pPr>
        <w:spacing w:after="160"/>
      </w:pPr>
      <w:r>
        <w:t xml:space="preserve">The deep report tools (Report builder, Creator intelligence, and the Campaign intelligence brief) now open with a Key signals band - a row of headline stat cards over the two or three quotes that best evidence the story. The numbers are pulled straight from the report and the underlying data, never computed fresh, and the quotes are shown verbatim from your dataset. If a report has no clean headline figures or nothing quotable, the band simply does not appear - it is never padded with invented numbers. Key signals shows on screen, travels into both the PowerPoint and the PDF, and is saved with the report so it is still there when you reopen it.</w:t>
      </w:r>
    </w:p>
    <w:p>
      <w:pPr>
        <w:spacing w:after="160"/>
      </w:pPr>
      <w:r>
        <w:t xml:space="preserve">The report look was refreshed at the same time. On screen and in both exports you will see a cleaner layout - a Convosphere ring mark, a teal label over a navy title, and light hairline dividers - so a report, its PowerPoint and its PDF now read as one consistent set.</w:t>
      </w:r>
    </w:p>
    <w:p>
      <w:pPr>
        <w:pStyle w:val="Heading2"/>
      </w:pPr>
      <w:r>
        <w:t xml:space="preserve">Deleting a report</w:t>
      </w:r>
    </w:p>
    <w:p>
      <w:pPr>
        <w:spacing w:after="160"/>
      </w:pPr>
      <w:r>
        <w:t xml:space="preserve">Every saved report now carries a small delete control. If you have permission to manage reports in your workspace you can remove one you no longer need; it is removed only from your workspace and cannot be undone, so delete with care. If you do not see the control, your role is view-only and your administrator can remove reports for you.</w:t>
      </w:r>
    </w:p>
    <w:p>
      <w:pPr>
        <w:spacing w:after="160"/>
      </w:pPr>
      <w:r>
        <w:t xml:space="preserve">A note on how reports export: a long report now packs its sections onto fewer, fuller slides rather than one slide per section, and any data table in the report - like the GEO opportunity matrix - comes out as a real table rather than a wall of text. Nothing you do changes; the decks and PDFs just read cleaner.</w:t>
      </w:r>
    </w:p>
    <w:p>
      <w:pPr>
        <w:spacing w:after="160"/>
      </w:pPr>
      <w:r>
        <w:rPr>
          <w:b w:val="0"/>
          <w:i w:val="0"/>
        </w:rPr>
        <w:t xml:space="preserve">Beyond the section text, the richer reports now export their signature view as a native, designed slide — not a flat image. A Brand health or Competitive benchmark export carries its scorecard as a real table with the leader marked; a GEO report carries its opportunity matrix and, where it was run, its share-of-answer; and a Corporate reputation export carries its pillar matrix and Index. These are drawn natively in both the PowerPoint and the PDF, so the headline of each report travels intact rather than as a screenshot.</w:t>
      </w:r>
    </w:p>
    <w:p>
      <w:pPr>
        <w:pStyle w:val="Heading2"/>
      </w:pPr>
      <w:r>
        <w:rPr>
          <w:b w:val="0"/>
          <w:i w:val="0"/>
        </w:rPr>
        <w:t xml:space="preserve">Building on a report: next steps, evolving, and templates</w:t>
      </w:r>
    </w:p>
    <w:p>
      <w:pPr>
        <w:spacing w:after="160"/>
      </w:pPr>
      <w:r>
        <w:rPr>
          <w:b w:val="0"/>
          <w:i w:val="0"/>
        </w:rPr>
        <w:t xml:space="preserve">When a report finishes, a Next steps panel suggests the two or three follow-on analyses that would deepen it — each triggered by a real signal in this report (for example, a large share of reshared posts suggests looking at the creators driving it). You can also pick any other tool from the same panel. Each suggestion gives you a choice: open it as a separate report, or add it to this one.</w:t>
      </w:r>
    </w:p>
    <w:p>
      <w:pPr>
        <w:spacing w:after="160"/>
      </w:pPr>
      <w:r>
        <w:rPr>
          <w:b w:val="0"/>
          <w:i w:val="0"/>
        </w:rPr>
        <w:t xml:space="preserve">Add to report is where a single analysis becomes a living dossier. The chosen lens is written as a new section of the same report — aware of what you have already established, grounded in the same data — and the report grows into one document that reopens and exports intact. Apply three lenses and you have one report with three stacked sections, not three files to reconcile.</w:t>
      </w:r>
    </w:p>
    <w:p>
      <w:pPr>
        <w:spacing w:after="160"/>
      </w:pPr>
      <w:r>
        <w:rPr>
          <w:b w:val="0"/>
          <w:i w:val="0"/>
        </w:rPr>
        <w:t xml:space="preserve">And any report can be saved as a template. Save as template captures the recipe — the tool, brand, time window, model and settings — and the Templates tab on the Reports page re-runs it in one click against fresh data. It is the fastest way to produce the same read every week without setting it up again.</w:t>
      </w:r>
    </w:p>
    <w:p>
      <w:pPr>
        <w:pStyle w:val="Heading2"/>
      </w:pPr>
      <w:r>
        <w:rPr>
          <w:b w:val="false"/>
          <w:bCs w:val="false"/>
          <w:i w:val="false"/>
          <w:iCs w:val="false"/>
        </w:rPr>
        <w:t xml:space="preserve">Charts and visualizations</w:t>
      </w:r>
    </w:p>
    <w:p>
      <w:pPr>
        <w:spacing w:after="160"/>
      </w:pPr>
      <w:r>
        <w:rPr>
          <w:b w:val="false"/>
          <w:bCs w:val="false"/>
          <w:i w:val="false"/>
          <w:iCs w:val="false"/>
        </w:rPr>
        <w:t xml:space="preserve">When your data supports it, the portal builds charts from your whole dataset — not just a sample — and shows them on the Visualize tab alongside the written analysis. Depending on the data, you may see a sentiment breakdown, a platform or source split, top themes, engagement totals, and post volume over time.</w:t>
      </w:r>
    </w:p>
    <w:p>
      <w:pPr>
        <w:spacing w:after="160"/>
      </w:pPr>
      <w:r>
        <w:rPr>
          <w:b w:val="false"/>
          <w:bCs w:val="false"/>
          <w:i w:val="false"/>
          <w:iCs w:val="false"/>
        </w:rPr>
        <w:t xml:space="preserve">These charts are included automatically in your PowerPoint export (Standard navy template): each chart becomes its own slide, as an editable PowerPoint chart you can restyle or recolour in the deck. Charts are drawn from the same figures as the written report, so the two always agree.</w:t>
      </w:r>
    </w:p>
    <w:p>
      <w:pPr>
        <w:spacing w:after="160"/>
      </w:pPr>
      <w:r>
        <w:rPr>
          <w:b w:val="false"/>
          <w:bCs w:val="false"/>
          <w:i w:val="false"/>
          <w:iCs w:val="false"/>
        </w:rPr>
        <w:t xml:space="preserve">If you load more than one data source, the export also includes comparison charts — the same source-versus-source views you see on screen (platform mix, engagement, and volume over time), with each source as its own series. Comparison charts are included when you export straight after running the analysis.</w:t>
      </w:r>
    </w:p>
    <w:p>
      <w:pPr>
        <w:spacing w:after="160"/>
      </w:pPr>
      <w:r>
        <w:rPr>
          <w:b w:val="false"/>
          <w:bCs w:val="false"/>
          <w:i w:val="false"/>
          <w:iCs w:val="false"/>
        </w:rPr>
        <w:t xml:space="preserve">A note on what appears: charts only show where the data provides them. A dataset with no sentiment scores will not show a sentiment chart, and some data types (for example a simple text export) may show fewer charts than a full social dataset. This is expected — the portal only charts what it can stand behind.</w:t>
      </w:r>
    </w:p>
    <w:p>
      <w:pPr>
        <w:pStyle w:val="Heading2"/>
      </w:pPr>
      <w:r>
        <w:rPr>
          <w:b w:val="false"/>
          <w:bCs w:val="false"/>
          <w:i w:val="false"/>
          <w:iCs w:val="false"/>
        </w:rPr>
        <w:t xml:space="preserve">Reading the Conversation Health score</w:t>
      </w:r>
    </w:p>
    <w:p>
      <w:pPr>
        <w:spacing w:after="160"/>
      </w:pPr>
      <w:r>
        <w:rPr>
          <w:b w:val="false"/>
          <w:bCs w:val="false"/>
          <w:i w:val="false"/>
          <w:iCs w:val="false"/>
        </w:rPr>
        <w:t xml:space="preserve">On the Visualize tab you may see a Conversation Health card — a banded score (Strong / Stable / Watch / At-risk) called the Convosphere Index, with the components behind it (such as Sentiment Balance and Voice Diversity). The important thing to read is the confidence: the card shows how much of the score rests on well-covered data, and it will widen into a range — or decline to show a number at all — when the data is too thin to support one. That is deliberate. The Index is Convosphere’s defined view of conversation health, not an objective score, and each component shows the plain reason for its confidence (for example, what share of posts were sentiment-scored, or how many had a named author).</w:t>
      </w:r>
    </w:p>
    <w:p>
      <w:pPr>
        <w:pStyle w:val="Heading1"/>
      </w:pPr>
      <w:r>
        <w:t xml:space="preserve">7. Monitoring with Alerts</w:t>
      </w:r>
    </w:p>
    <w:p>
      <w:r>
        <w:t>the portal doesn't just analyse the data you bring — it can also watch the live social conversation for you. The Alerts page is where that monitoring surfaces. When a watched conversation breaks its normal pattern (for example, a sudden spike in mentions of your brand, or unusual activity around crisis terms), an alert appears here and on your Dashboard, without anyone having to run anything.</w:t>
      </w:r>
    </w:p>
    <w:p>
      <w:pPr>
        <w:pStyle w:val="Heading2"/>
      </w:pPr>
      <w:r>
        <w:t xml:space="preserve">Reading an alert</w:t>
      </w:r>
    </w:p>
    <w:p>
      <w:r>
        <w:t xml:space="preserve">Each alert card shows a severity badge (warning for a clear spike, critical for an extreme one), the brand it relates to, when it fired, and the numbers behind it — how many mentions appeared in the last 24 hours compared with the normal daily average for that conversation. When you've reviewed an alert and taken any action needed, click Dismiss; dismissed alerts stay visible in a 'Recently dismissed' list for seven days, then clear. The Dashboard's 'Open alerts' count and Active alerts card always reflect what's currently open, so keeping alerts dismissed once handled keeps that count meaningful.</w:t>
      </w:r>
    </w:p>
    <w:p>
      <w:pPr>
        <w:pStyle w:val="Heading2"/>
      </w:pPr>
      <w:r>
        <w:t xml:space="preserve">How watch rules work</w:t>
      </w:r>
    </w:p>
    <w:p>
      <w:r>
        <w:t xml:space="preserve">Behind each alert is a watch rule: a saved query (brand terms, topic combinations such as your brand AND crisis language, or even a whole online community like a specific subreddit) plus a firing threshold — for example 'alert me when today's volume is at least twice the 7-day average, and at least 100 mentions'. The rules watching your workspace are listed on the Alerts page, each showing what it watches and the numbers from its most recent check. Checks run automatically on a schedule against a live social data feed covering major platforms (X, TikTok, Reddit, YouTube, Threads, Bluesky and more) — no data upload is involved.</w:t>
      </w:r>
    </w:p>
    <w:p>
      <w:r>
        <w:t xml:space="preserve">Two types of watch rule are available: volume spike rules (which check whether mention counts are unusually high compared to a recent baseline — these use free previews and cost no data quota) and sentiment-shift rules (which monitor whether negative sentiment is rising compared to baseline — these use a small data sample per run and are best enabled for specific monitoring periods rather than continuously). In this release, watch rules are set up and tuned by your Convosphere team. If you'd like a new watch — a brand-volume monitor, a crisis-term early warning, or a community watch — contact your account team or use Email Portal Support with the brand, the terms or community to watch, and how sensitive you'd like it to be.</w:t>
      </w:r>
    </w:p>
    <w:p>
      <w:pPr>
        <w:pStyle w:val="Heading2"/>
      </w:pPr>
      <w:r>
        <w:t xml:space="preserve">A quiet page is good news</w:t>
      </w:r>
    </w:p>
    <w:p>
      <w:r>
        <w:t xml:space="preserve">Alerts are designed not to cry wolf: an ordinary day, even a busy one, should not fire. If your Alerts page is quiet, that's the system confirming your brands are inside their normal pattern. When an alert does fire, the Triage tool in the Prompt library is the natural next step — it classifies the signal by urgency and category and tells you whether it warrants escalation.</w:t>
      </w:r>
    </w:p>
    <w:p>
      <w:pPr>
        <w:pStyle w:val="Heading2"/>
      </w:pPr>
      <w:r>
        <w:rPr>
          <w:b w:val="0"/>
          <w:i w:val="0"/>
        </w:rPr>
        <w:t xml:space="preserve">Agents: always-on monitoring</w:t>
      </w:r>
    </w:p>
    <w:p>
      <w:pPr>
        <w:spacing w:after="160"/>
      </w:pPr>
      <w:r>
        <w:rPr>
          <w:b w:val="0"/>
          <w:i w:val="0"/>
        </w:rPr>
        <w:t xml:space="preserve">Agents are scheduled background jobs that watch a brand for you. The first type, an Overview tracker, records a brand's mention volume for a query on a cadence — building an automatic timeline without anyone running anything, and at no cost to your mention quota because it uses a free preview. Create one from the Agents page, run it on demand any time, and see its history as a small trend.</w:t>
      </w:r>
    </w:p>
    <w:p>
      <w:pPr>
        <w:spacing w:after="160"/>
      </w:pPr>
      <w:r>
        <w:rPr>
          <w:b w:val="0"/>
          <w:i w:val="0"/>
        </w:rPr>
        <w:t xml:space="preserve">Scheduled, hands-off runs are switched on by your Convosphere team; until then you can trial any agent with Run now. Agents are complementary to Alerts: an alert fires only when something spikes, while an Overview tracker records every run, so you get the continuous baseline as well as the exceptions.</w:t>
      </w:r>
    </w:p>
    <w:p>
      <w:pPr>
        <w:pStyle w:val="Heading1"/>
      </w:pPr>
      <w:r>
        <w:t xml:space="preserve">8. Working Across Multiple Clients</w:t>
      </w:r>
    </w:p>
    <w:p>
      <w:r>
        <w:t>If you work on more than one client account — for example, across several brands or divisions that each have their own the portal workspace — you can switch between them without signing out. Your account has one home client and can be granted access to additional ones by your Convosphere team.</w:t>
      </w:r>
    </w:p>
    <w:p>
      <w:pPr>
        <w:pStyle w:val="Heading2"/>
      </w:pPr>
      <w:r>
        <w:t xml:space="preserve">The workspace switcher</w:t>
      </w:r>
    </w:p>
    <w:p>
      <w:r>
        <w:t xml:space="preserve">When your account has access to more than one client, a Workspace selector appears in the sidebar below your name. It shows your current client with '(home)' next to the one your account belongs to. Picking a different client from the dropdown immediately updates the whole portal for that workspace: the brand list, projects, data library, reports, alerts, and every other surface all switch to reflect that client's data. Switching back is instant.</w:t>
      </w:r>
    </w:p>
    <w:p>
      <w:pPr>
        <w:pStyle w:val="Heading2"/>
      </w:pPr>
      <w:r>
        <w:t xml:space="preserve">What stays the same across workspaces</w:t>
      </w:r>
    </w:p>
    <w:p>
      <w:r>
        <w:t xml:space="preserve">Your login, password, certification progress, and learning modules are yours — they don't change when you switch clients. Everything else (brands, datasets, reports, insights, alerts) belongs to the client workspace you're currently in.</w:t>
      </w:r>
    </w:p>
    <w:p>
      <w:pPr>
        <w:pStyle w:val="Heading2"/>
      </w:pPr>
      <w:r>
        <w:t xml:space="preserve">Getting access to another client</w:t>
      </w:r>
    </w:p>
    <w:p>
      <w:r>
        <w:t>Client access is managed by your Convosphere team. If you need to be added to an additional workspace, contact your account team or use Email Portal Support. Note that being added to a client gives you access to all of that client's data in the portal, so access is granted carefully and intentionally.</w:t>
      </w:r>
    </w:p>
    <w:p>
      <w:pPr>
        <w:pStyle w:val="Heading1"/>
      </w:pPr>
      <w:r>
        <w:t xml:space="preserve">9. Managing Strategy Briefs</w:t>
      </w:r>
    </w:p>
    <w:p>
      <w:r>
        <w:t>A strategy brief is a short document that tells the portal what a brand or project is about — its objectives, tone, sensitivities, and campaigns. When a brief is enabled for a brand or project, the portal automatically includes it as context in every analysis you run, so the output reflects your specific goals rather than generic observations.</w:t>
      </w:r>
    </w:p>
    <w:p>
      <w:pPr>
        <w:pStyle w:val="Heading2"/>
      </w:pPr>
      <w:r>
        <w:t xml:space="preserve">Creating and uploading a brief</w:t>
      </w:r>
    </w:p>
    <w:p>
      <w:r>
        <w:t>Go to Strategy Brief Upload in the sidebar. Use the Context dropdown to choose a brand or project — if the one you need doesn’t exist yet, click + Add brand or + Add project underneath the dropdown to create it on the spot. Then use the Brief dropdown to choose an existing brief or click + New brief to create a named one. Upload a PDF or Word document, or paste the text directly, then click Generate profile. the portal reads the document and produces a structured profile. Review and edit any field, then save.</w:t>
      </w:r>
    </w:p>
    <w:p>
      <w:pPr>
        <w:pStyle w:val="Heading2"/>
      </w:pPr>
      <w:r>
        <w:t xml:space="preserve">Named briefs</w:t>
      </w:r>
    </w:p>
    <w:p>
      <w:r>
        <w:t xml:space="preserve">Both brands and projects support multiple named briefs — for example Discovery, Deep-dive, and Readout for a project that runs in phases. Use + New brief to add one and Rename to rename an existing one (the Default brief can be renamed too). When you run a prompt with a brand or project selected that has more than one brief, a dropdown appears in the runner letting you choose which brief to apply to that run.</w:t>
      </w:r>
    </w:p>
    <w:p>
      <w:pPr>
        <w:pStyle w:val="Heading2"/>
      </w:pPr>
      <w:r>
        <w:t xml:space="preserve">Branded PowerPoint exports and chart slides</w:t>
      </w:r>
    </w:p>
    <w:p>
      <w:r>
        <w:t xml:space="preserve">Reports can be exported into your organisation's own PowerPoint deck. Your Convosphere team prepares the template once (a designated slide in the deck becomes the repeating report-section slide), and from then on every Download PPTX produces a deck in your branding — cover, appendix, and design carried through, with the report content injected as new slides. Long sections automatically continue onto follow-on slides, and each section includes sample posts from the data where available.</w:t>
      </w:r>
    </w:p>
    <w:p>
      <w:r>
        <w:t xml:space="preserve">When a branded template is selected, a Chart slides panel appears under the export buttons. Tick the visualisations you want — sentiment pie, platform breakdown, emotions, volume-by-day timeline, top creators, or a platform × sentiment heatmap — and choose which slide each one appears on. The charts are drawn into the deck as native PowerPoint shapes, so they can be recoloured, moved, or resized like any other slide element.</w:t>
      </w:r>
    </w:p>
    <w:p>
      <w:pPr>
        <w:pStyle w:val="Heading1"/>
      </w:pPr>
      <w:r>
        <w:rPr>
          <w:b w:val="false"/>
          <w:bCs w:val="false"/>
          <w:i w:val="false"/>
          <w:iCs w:val="false"/>
        </w:rPr>
        <w:t xml:space="preserve">10. Tracking What Gets Implemented</w:t>
      </w:r>
    </w:p>
    <w:p>
      <w:pPr>
        <w:spacing w:after="160"/>
      </w:pPr>
      <w:r>
        <w:rPr>
          <w:b w:val="false"/>
          <w:bCs w:val="false"/>
          <w:i w:val="false"/>
          <w:iCs w:val="false"/>
        </w:rPr>
        <w:t xml:space="preserve">The Insights tracker turns a report into something you can follow over time. It captures the key findings and recommendations from an analysis and tracks each one as it moves through the client — from first proposed, to shared, to accepted, implemented, or declined. It answers the question a report alone can't: not just "what did we find," but "what did the client actually do about it."</w:t>
      </w:r>
    </w:p>
    <w:p>
      <w:pPr>
        <w:pStyle w:val="Heading2"/>
      </w:pPr>
      <w:r>
        <w:rPr>
          <w:b w:val="false"/>
          <w:bCs w:val="false"/>
          <w:i w:val="false"/>
          <w:iCs w:val="false"/>
        </w:rPr>
        <w:t xml:space="preserve">Getting insights out of a report</w:t>
      </w:r>
    </w:p>
    <w:p>
      <w:pPr>
        <w:spacing w:after="160"/>
      </w:pPr>
      <w:r>
        <w:rPr>
          <w:b w:val="false"/>
          <w:bCs w:val="false"/>
          <w:i w:val="false"/>
          <w:iCs w:val="false"/>
        </w:rPr>
        <w:t xml:space="preserve">On any finished report, click "Suggest insights." The portal reads the report and drafts a short list of trackable insights, each paired with its recommendation. You review them in a pop-up: edit the wording, adjust the priority, untick any you don't want, and save the rest. Nothing is added to the tracker until you save — the drafts are always yours to change first. You can also add an insight by hand with "+ Add insight," and re-run "Suggest insights" on a saved report at any time.</w:t>
      </w:r>
    </w:p>
    <w:p>
      <w:pPr>
        <w:pStyle w:val="Heading2"/>
      </w:pPr>
      <w:r>
        <w:rPr>
          <w:b w:val="false"/>
          <w:bCs w:val="false"/>
          <w:i w:val="false"/>
          <w:iCs w:val="false"/>
        </w:rPr>
        <w:t xml:space="preserve">Tracking status over time</w:t>
      </w:r>
    </w:p>
    <w:p>
      <w:pPr>
        <w:spacing w:after="160"/>
      </w:pPr>
      <w:r>
        <w:rPr>
          <w:b w:val="false"/>
          <w:bCs w:val="false"/>
          <w:i w:val="false"/>
          <w:iCs w:val="false"/>
        </w:rPr>
        <w:t xml:space="preserve">Each insight moves through five stages: Proposed, Shared, Accepted, Implemented, and Declined. Change an insight's status straight from the tracker as things develop, set its priority, note who owns it, and record the client's response. The tracker keeps a running summary at the top, including an implementation rate — of the insights the client has engaged with, the share they actually implemented.</w:t>
      </w:r>
    </w:p>
    <w:p>
      <w:pPr>
        <w:pStyle w:val="Heading2"/>
      </w:pPr>
      <w:r>
        <w:rPr>
          <w:b w:val="false"/>
          <w:bCs w:val="false"/>
          <w:i w:val="false"/>
          <w:iCs w:val="false"/>
        </w:rPr>
        <w:t xml:space="preserve">Finding your tracker</w:t>
      </w:r>
    </w:p>
    <w:p>
      <w:pPr>
        <w:spacing w:after="160"/>
      </w:pPr>
      <w:r>
        <w:rPr>
          <w:b w:val="false"/>
          <w:bCs w:val="false"/>
          <w:i w:val="false"/>
          <w:iCs w:val="false"/>
        </w:rPr>
        <w:t xml:space="preserve">Open "Insights tracker" from the sidebar to see everything, and filter by brand, by project, or by status. Your dashboard also shows a personal card — the insights you created or own — with your counts and implementation rate at a glance. And each brand's page shows its most recent insights, so the tracker is never more than a click away from where you're working.</w:t>
      </w:r>
    </w:p>
    <w:p>
      <w:pPr>
        <w:pStyle w:val="Heading2"/>
      </w:pPr>
      <w:r>
        <w:t xml:space="preserve">Event library: your memory of launches and crises</w:t>
      </w:r>
    </w:p>
    <w:p>
      <w:pPr>
        <w:spacing w:after="160"/>
      </w:pPr>
      <w:r>
        <w:t xml:space="preserve">The Event library is your running memory of what has happened and what to do about it. Open it from Event library in the sidebar. Each entry is a launch, campaign, competitor move or crisis, with what worked, what didn't, notes and tags. You can add entries by hand, import a spreadsheet you already keep (the portal matches the columns for you and asks you to confirm before anything saves), or attach a saved benchmark so its metrics travel with the event.</w:t>
      </w:r>
    </w:p>
    <w:p>
      <w:pPr>
        <w:spacing w:after="160"/>
      </w:pPr>
      <w:r>
        <w:t xml:space="preserve">The point of storing all this is the Compare panel at the top. Describe a launch you are planning or a crisis you are facing, and the portal finds the closest past events - by type, brand and keywords - and lays out what worked, what did not, and the practical lessons. With the AI summary left on, it draws only on the events you have stored and tells you when the match is loose rather than forcing a comparison. It is a memory aid, not a crystal ball: it cannot foresee an external shock or anything your notes do not record.</w:t>
      </w:r>
    </w:p>
    <w:p>
      <w:pPr>
        <w:pStyle w:val="Heading2"/>
      </w:pPr>
      <w:r>
        <w:t xml:space="preserve">Benchmark tracker: watching your standing move</w:t>
      </w:r>
    </w:p>
    <w:p>
      <w:pPr>
        <w:spacing w:after="160"/>
      </w:pPr>
      <w:r>
        <w:t xml:space="preserve">Every competitive scorecard and GEO share-of-answer run is captured as a dated snapshot, so a metric you used to read once can now be watched over time. Open Benchmark tracker in the sidebar, pick the benchmark and the metric, and it charts each brand's line across every snapshot. You can add or edit a snapshot by hand and export the whole history to Excel.</w:t>
      </w:r>
    </w:p>
    <w:p>
      <w:pPr>
        <w:spacing w:after="160"/>
      </w:pPr>
      <w:r>
        <w:rPr>
          <w:b w:val="0"/>
          <w:i w:val="0"/>
        </w:rPr>
        <w:t xml:space="preserve">The tracker is more than a single line per brand. Switch between views: small multiples give each brand its own mini-chart, a delta view ranks who moved most since the last snapshot, a radar compares brands across every scorecard metric at once, and sparklines give a compact at-a-glance trend. Brand health snapshots feed the same tracker, so the equity pillars can be watched over time the same way.</w:t>
      </w:r>
    </w:p>
    <w:p>
      <w:pPr>
        <w:spacing w:after="160"/>
      </w:pPr>
      <w:r>
        <w:t xml:space="preserve">The tracker holds itself to the same honesty rule as the scorecard. A trend line only means something if the snapshots are like-for-like, so when the data windows, sources or query sets differ between runs it says so above the chart and tells you to read the movement as directional. Snapshots are captured automatically, so the history builds itself as you work.</w:t>
      </w:r>
    </w:p>
    <w:p>
      <w:pPr>
        <w:spacing w:after="160"/>
      </w:pPr>
      <w:r>
        <w:t xml:space="preserve">Any report can also be dropped into the Event library in one click. The Save as event button on a report pre-fills an entry and attaches its benchmark metrics, so a launch or a crisis you just analysed becomes part of the record.</w:t>
      </w:r>
    </w:p>
    <w:p>
      <w:pPr>
        <w:spacing w:after="160"/>
      </w:pPr>
      <w:r>
        <w:rPr>
          <w:b w:val="0"/>
          <w:i w:val="0"/>
        </w:rPr>
        <w:t xml:space="preserve">A fuller activity trail sits under the per-brand cards on the Activity summary page. Beyond prompt runs, it now records reports saved and deleted, datasets saved, briefs updated, snapshots captured and agent runs — newest first — so there is always a clear record of what has been done in the workspace.</w:t>
      </w:r>
    </w:p>
    <w:p>
      <w:pPr>
        <w:pStyle w:val="Heading1"/>
      </w:pPr>
      <w:r>
        <w:rPr>
          <w:b w:val="false"/>
          <w:bCs w:val="false"/>
          <w:i w:val="false"/>
          <w:iCs w:val="false"/>
        </w:rPr>
        <w:t xml:space="preserve">11. When You Need More — Commissioning Convosphere</w:t>
      </w:r>
    </w:p>
    <w:p>
      <w:pPr>
        <w:spacing w:after="160"/>
      </w:pPr>
      <w:r>
        <w:rPr>
          <w:b w:val="false"/>
          <w:bCs w:val="false"/>
          <w:i w:val="false"/>
          <w:iCs w:val="false"/>
        </w:rPr>
        <w:t xml:space="preserve">Some questions deserve a human analyst. When self-serve analysis isn't enough, the Convosphere section lets you bring the team in directly.</w:t>
      </w:r>
    </w:p>
    <w:p>
      <w:pPr>
        <w:pStyle w:val="ListParagraph"/>
        <w:numPr>
          <w:ilvl w:val="0"/>
          <w:numId w:val="2"/>
        </w:numPr>
      </w:pPr>
      <w:r>
        <w:rPr>
          <w:b/>
          <w:bCs/>
          <w:i w:val="false"/>
          <w:iCs w:val="false"/>
        </w:rPr>
        <w:t xml:space="preserve">Request a report — </w:t>
      </w:r>
      <w:r>
        <w:rPr>
          <w:b w:val="false"/>
          <w:bCs w:val="false"/>
          <w:i w:val="false"/>
          <w:iCs w:val="false"/>
        </w:rPr>
        <w:t xml:space="preserve">brief the Convosphere team on a bespoke piece of analysis you'd like them to produce.</w:t>
      </w:r>
    </w:p>
    <w:p>
      <w:pPr>
        <w:pStyle w:val="ListParagraph"/>
        <w:numPr>
          <w:ilvl w:val="0"/>
          <w:numId w:val="2"/>
        </w:numPr>
      </w:pPr>
      <w:r>
        <w:rPr>
          <w:b/>
          <w:bCs/>
          <w:i w:val="false"/>
          <w:iCs w:val="false"/>
        </w:rPr>
        <w:t xml:space="preserve">Submitted briefs — </w:t>
      </w:r>
      <w:r>
        <w:rPr>
          <w:b w:val="false"/>
          <w:bCs w:val="false"/>
          <w:i w:val="false"/>
          <w:iCs w:val="false"/>
        </w:rPr>
        <w:t xml:space="preserve">track the requests you've made and their status.</w:t>
      </w:r>
    </w:p>
    <w:p>
      <w:pPr>
        <w:pStyle w:val="ListParagraph"/>
        <w:numPr>
          <w:ilvl w:val="0"/>
          <w:numId w:val="2"/>
        </w:numPr>
      </w:pPr>
      <w:r>
        <w:rPr>
          <w:b/>
          <w:bCs/>
          <w:i w:val="false"/>
          <w:iCs w:val="false"/>
        </w:rPr>
        <w:t xml:space="preserve">Email Portal Support — </w:t>
      </w:r>
      <w:r>
        <w:rPr>
          <w:b w:val="false"/>
          <w:bCs w:val="false"/>
          <w:i w:val="false"/>
          <w:iCs w:val="false"/>
        </w:rPr>
        <w:t xml:space="preserve">reach the team for access issues, questions, or help getting the most from the portal.</w:t>
      </w:r>
    </w:p>
    <w:p>
      <w:pPr>
        <w:pStyle w:val="Heading2"/>
      </w:pPr>
      <w:r>
        <w:t xml:space="preserve">Requesting a bespoke report</w:t>
      </w:r>
    </w:p>
    <w:p>
      <w:pPr>
        <w:spacing w:after="160"/>
      </w:pPr>
      <w:r>
        <w:t xml:space="preserve">When an analysis needs a human analyst, use Request a report. Rather than a free-text box, it now walks you through a short structured brief - the decision the report needs to support, the audience, the brands and competitors in scope, the questions that matter, the sources and timeframe, and the deadline. The more of it you complete, the faster the Convosphere team can scope the work and come back to you, because the brief captures what an analyst would otherwise have to ask for.</w:t>
      </w:r>
    </w:p>
    <w:p>
      <w:pPr>
        <w:pStyle w:val="Heading1"/>
      </w:pPr>
      <w:r>
        <w:rPr>
          <w:b w:val="false"/>
          <w:bCs w:val="false"/>
          <w:i w:val="false"/>
          <w:iCs w:val="false"/>
        </w:rPr>
        <w:t xml:space="preserve">12. Getting the Best Results</w:t>
      </w:r>
    </w:p>
    <w:p>
      <w:pPr>
        <w:pStyle w:val="ListParagraph"/>
        <w:numPr>
          <w:ilvl w:val="0"/>
          <w:numId w:val="2"/>
        </w:numPr>
      </w:pPr>
      <w:r>
        <w:rPr>
          <w:b/>
          <w:bCs/>
          <w:i w:val="false"/>
          <w:iCs w:val="false"/>
        </w:rPr>
        <w:t xml:space="preserve">Clean first. </w:t>
      </w:r>
      <w:r>
        <w:rPr>
          <w:b w:val="false"/>
          <w:bCs w:val="false"/>
          <w:i w:val="false"/>
          <w:iCs w:val="false"/>
        </w:rPr>
        <w:t xml:space="preserve">Run the Data quality &amp; noise filter on a raw export before analysing — it meaningfully improves every downstream result.</w:t>
      </w:r>
    </w:p>
    <w:p>
      <w:pPr>
        <w:pStyle w:val="ListParagraph"/>
        <w:numPr>
          <w:ilvl w:val="0"/>
          <w:numId w:val="2"/>
        </w:numPr>
      </w:pPr>
      <w:r>
        <w:rPr>
          <w:b/>
          <w:bCs/>
          <w:i w:val="false"/>
          <w:iCs w:val="false"/>
        </w:rPr>
        <w:t xml:space="preserve">Give enough data. </w:t>
      </w:r>
      <w:r>
        <w:rPr>
          <w:b w:val="false"/>
          <w:bCs w:val="false"/>
          <w:i w:val="false"/>
          <w:iCs w:val="false"/>
        </w:rPr>
        <w:t xml:space="preserve">Trend and velocity tools work best with 7–14 days of data so they can compare across the window.</w:t>
      </w:r>
    </w:p>
    <w:p>
      <w:pPr>
        <w:pStyle w:val="ListParagraph"/>
        <w:numPr>
          <w:ilvl w:val="0"/>
          <w:numId w:val="2"/>
        </w:numPr>
      </w:pPr>
      <w:r>
        <w:rPr>
          <w:b/>
          <w:bCs/>
          <w:i w:val="false"/>
          <w:iCs w:val="false"/>
        </w:rPr>
        <w:t xml:space="preserve">Set the brand brief. </w:t>
      </w:r>
      <w:r>
        <w:rPr>
          <w:b w:val="false"/>
          <w:bCs w:val="false"/>
          <w:i w:val="false"/>
          <w:iCs w:val="false"/>
        </w:rPr>
        <w:t xml:space="preserve">A saved strategy brief makes outputs noticeably more relevant and on-tone.</w:t>
      </w:r>
    </w:p>
    <w:p>
      <w:pPr>
        <w:pStyle w:val="ListParagraph"/>
        <w:numPr>
          <w:ilvl w:val="0"/>
          <w:numId w:val="2"/>
        </w:numPr>
      </w:pPr>
      <w:r>
        <w:rPr>
          <w:b/>
          <w:bCs/>
          <w:i w:val="false"/>
          <w:iCs w:val="false"/>
        </w:rPr>
        <w:t xml:space="preserve">Match the tool to the audience. </w:t>
      </w:r>
      <w:r>
        <w:rPr>
          <w:b w:val="false"/>
          <w:bCs w:val="false"/>
          <w:i w:val="false"/>
          <w:iCs w:val="false"/>
        </w:rPr>
        <w:t xml:space="preserve">Executive summary for leadership; Report builder for a deep, evidence-led read; Triage and Escalation memo when speed matters.</w:t>
      </w:r>
    </w:p>
    <w:p>
      <w:pPr>
        <w:pStyle w:val="ListParagraph"/>
        <w:numPr>
          <w:ilvl w:val="0"/>
          <w:numId w:val="2"/>
        </w:numPr>
      </w:pPr>
      <w:r>
        <w:rPr>
          <w:b/>
          <w:bCs/>
          <w:i w:val="false"/>
          <w:iCs w:val="false"/>
        </w:rPr>
        <w:t xml:space="preserve">Save reusable datasets. </w:t>
      </w:r>
      <w:r>
        <w:rPr>
          <w:b w:val="false"/>
          <w:bCs w:val="false"/>
          <w:i w:val="false"/>
          <w:iCs w:val="false"/>
        </w:rPr>
        <w:t xml:space="preserve">If you'll analyse the same export several ways, save it once to the Data library.</w:t>
      </w:r>
    </w:p>
    <w:p>
      <w:pPr>
        <w:pStyle w:val="ListParagraph"/>
        <w:numPr>
          <w:ilvl w:val="0"/>
          <w:numId w:val="2"/>
        </w:numPr>
      </w:pPr>
      <w:r>
        <w:rPr>
          <w:b/>
          <w:bCs/>
          <w:i w:val="false"/>
          <w:iCs w:val="false"/>
        </w:rPr>
        <w:t xml:space="preserve">Trust the grounding. </w:t>
      </w:r>
      <w:r>
        <w:rPr>
          <w:b w:val="false"/>
          <w:bCs w:val="false"/>
          <w:i w:val="false"/>
          <w:iCs w:val="false"/>
        </w:rPr>
        <w:t xml:space="preserve">If an output says the data doesn't show something, that's by design — it won't invent figures to fill a gap. Supply more data if you need the answer.</w:t>
      </w:r>
    </w:p>
    <w:p>
      <w:pPr>
        <w:spacing w:after="160"/>
      </w:pPr>
      <w:r>
        <w:rPr>
          <w:b/>
          <w:bCs/>
          <w:i w:val="false"/>
          <w:iCs w:val="false"/>
        </w:rPr>
        <w:t xml:space="preserve">Questions, access, or feedback? </w:t>
      </w:r>
      <w:r>
        <w:rPr>
          <w:b w:val="false"/>
          <w:bCs w:val="false"/>
          <w:i w:val="false"/>
          <w:iCs w:val="false"/>
        </w:rPr>
        <w:t xml:space="preserve">Use Email Portal Support in the sidebar, or contact your Convosphere account team.</w:t>
      </w:r>
    </w:p>
    <w:p>
      <w:pPr>
        <w:pStyle w:val="Heading1"/>
      </w:pPr>
      <w:r>
        <w:t xml:space="preserve">13. Frameworks: How the Analysis Works</w:t>
      </w:r>
    </w:p>
    <w:p>
      <w:pPr>
        <w:spacing w:after="160"/>
      </w:pPr>
      <w:r>
        <w:t xml:space="preserve">Open Frameworks in the sidebar for a plain-language explainer of the methods behind the portal's analysis - what each one does, how it works, and when to lean on it. It is the companion to What to Trust: where that page tells you how far to trust each output, Frameworks tells you how each output is produced.</w:t>
      </w:r>
    </w:p>
    <w:p>
      <w:pPr>
        <w:spacing w:after="160"/>
      </w:pPr>
      <w:r>
        <w:t xml:space="preserve">It covers ten: multi-model consensus (three independent models must agree before a finding is treated as high-confidence); the Convosphere Index for conversation health; the reputation pillars; impact over volume (ranking by engagement per post, not raw counts); GEO and AI-search visibility; grounded theme extraction (themes must cite the posts they came from); media reach and AVE (passed through as the monitoring source's own figures, with AVE flagged as an industry-contested metric); visual intelligence read from image tagging; the brand-health equity pillars (Trust, Innovation, Quality, Value and Advocacy, scored as themed sentiment and shown banded); and how sentiment is handled, including how amplification — retweets and reposts — is separated from organic voice. Each is written to be read by a stakeholder, not an engineer.</w:t>
      </w:r>
    </w:p>
    <w:p>
      <w:pPr>
        <w:pStyle w:val="Heading1"/>
      </w:pPr>
      <w:r>
        <w:t>14. What to Trust (and What Not To)</w:t>
      </w:r>
    </w:p>
    <w:p>
      <w:r>
        <w:t>Open What to trust in the sidebar. It rates every kind of output this portal produces, and it is deliberately blunt, because an analysis you cannot calibrate is an analysis you cannot use.</w:t>
      </w:r>
    </w:p>
    <w:p>
      <w:r>
        <w:t>Ratings are stricter in regulated sectors. If your workspace is set to pharma or healthcare, sentiment, emotion classification and creator ranking all drop to “do not rely on it”. One general model scores automotive and pharmaceutical conversation the same way; it has no understanding of your indication, your treatment, or what negativity about a side effect actually signifies.</w:t>
      </w:r>
    </w:p>
    <w:p>
      <w:pPr>
        <w:pStyle w:val="Heading2"/>
      </w:pPr>
      <w:r>
        <w:t>The short version</w:t>
      </w:r>
    </w:p>
    <w:p>
      <w:pPr>
        <w:pStyle w:val="ListParagraph"/>
      </w:pPr>
      <w:r>
        <w:t>Trust it: volume, platform split and timeline (these are counts); verbatim quotes (pulled from your data, never generated); theme extraction, because themes must cite the posts they came from; and any finding all three models independently reached.</w:t>
      </w:r>
    </w:p>
    <w:p>
      <w:pPr>
        <w:pStyle w:val="ListParagraph"/>
      </w:pPr>
      <w:r>
        <w:t>Directional only: high-level summaries (they tell you what is in the data, not what it means); sentiment and emotion outside regulated sectors; creator ranking, which measures engagement inside your dataset and is not a measure of reach or audience size; and GEO opportunity scores and inferred AI-search queries; audience and reach figures from media monitoring (the monitoring source's own estimate of how many people an outlet reaches); AVE, which is the source's figure and an industry-contested metric the Barcelona Principles reject as a measure of value, so we pass it through as the vendor's number and never as proof of impact; and visual intelligence - the brands, objects and scenes read from images, which come from the source's automated tagging and only from posts that carried a tagged image. The one column on a GEO report you can lean on harder is confidence: it is not a judgement, it is a count of how many of the three independent models raised that query, and the three reports are attached so you can check it yourself.</w:t>
      </w:r>
    </w:p>
    <w:p>
      <w:pPr>
        <w:pStyle w:val="ListParagraph"/>
      </w:pPr>
      <w:r>
        <w:t>We do not do it: AI-generated personas and patient-journey mapping. A model does not know how you segment your customers or your patients, and we would rather say so than pretend otherwise.</w:t>
      </w:r>
    </w:p>
    <w:p>
      <w:pPr>
        <w:pStyle w:val="ListParagraph"/>
      </w:pPr>
      <w:r>
        <w:rPr>
          <w:b/>
          <w:i w:val="0"/>
        </w:rPr>
        <w:t>Trust the direction, not the decimal, on the channel and content tools: they rank by engagement per post, name the platforms and formats they cannot measure rather than inventing figures, and hold thin ones out of the ranking. The Reputation Index is arithmetic over the pillar evidence, not the model's opinion — when it shows a range, that is the honesty, not a glitch.</w:t>
      </w:r>
    </w:p>
    <w:p>
      <w:r>
        <w:t>If something is rated below what you need it to be, that is usually a signal to bring an analyst in rather than push the tool harder. That is what we are for.</w:t>
      </w:r>
    </w:p>
    <w:p>
      <w:pPr>
        <w:spacing w:after="160"/>
      </w:pPr>
      <w:r>
        <w:rPr>
          <w:b w:val="false"/>
          <w:bCs w:val="false"/>
          <w:i w:val="false"/>
          <w:iCs w:val="false"/>
        </w:rPr>
        <w:t xml:space="preserve">User Guide · Page</w:t>
      </w:r>
    </w:p>
    <w:p>
      <w:pPr>
        <w:spacing w:after="160"/>
      </w:pPr>
      <w:r>
        <w:t xml:space="preserve">Two more outputs to place on this scale. The Competitive benchmark scorecard is trustworthy where it counts things - volume and share of voice - and directional where it scores sentiment; reach and AVE are the source's own figures, and AVE remains a contested metric, never proof of impact. The Event library's Compare panel is only as good as the notes you put in: it summarises your stored history and flags a weak match, but it never invents an outcome that is not written down.</w:t>
      </w:r>
    </w:p>
    <w:p>
      <w:pPr>
        <w:spacing w:after="160"/>
      </w:pPr>
      <w:r>
        <w:rPr>
          <w:b w:val="0"/>
          <w:i w:val="0"/>
        </w:rPr>
        <w:t xml:space="preserve">The Brand health tracker sits with the reputation and sentiment outputs: the pillar scores are directional and drop further in regulated sectors, but the Index is arithmetic over the pillar evidence — never the model’s opinion — and it bands wider or refuses to resolve when coverage is thin. And because sentiment now separates organic posts from amplification, a retweet storm no longer reads as genuine feeling: the organic net is what to trust, with the amplified share shown beside it.</w:t>
      </w:r>
    </w:p>
    <w:p>
      <w:pPr>
        <w:spacing w:after="160"/>
      </w:pPr>
      <w:r>
        <w:t xml:space="preserve">The benchmark tracker inherits the scorecard's caveats and adds one of its own: it only draws a fair trend line where each snapshot was captured the same way, and it flags plainly when they were not.</w:t>
      </w:r>
    </w:p>
    <w:p>
      <w:pPr>
        <w:spacing w:after="160"/>
      </w:pPr>
      <w:r>
        <w:rPr>
          <w:b w:val="0"/>
          <w:i w:val="0"/>
        </w:rPr>
        <w:t xml:space="preserve">One more note on sentiment coverage. Some sources (Talkwalker among them) score only a small share of posts for sentiment. Where that happens, the portal now adds a keyword estimate across the unscored posts to broaden the picture — reported separately and clearly labelled as a directional Convosphere estimate, never merged into the source's own score. It is switched off in regulated (pharma) workspaces, where a keyword read is not trustworthy enough to show.</w:t>
      </w:r>
    </w:p>
    <w:p>
      <w:pPr>
        <w:spacing w:after="160"/>
      </w:pPr>
      <w:r>
        <w:rPr>
          <w:b/>
        </w:rPr>
        <w:t xml:space="preserve">What's New - 11 September 2026</w:t>
      </w:r>
    </w:p>
    <w:p>
      <w:pPr>
        <w:spacing w:after="160"/>
      </w:pPr>
      <w:r>
        <w:rPr>
          <w:b/>
        </w:rPr>
        <w:t xml:space="preserve">Ask the AI engines a research question - and bring your own context. </w:t>
      </w:r>
      <w:r>
        <w:rPr>
          <w:b w:val="false"/>
          <w:i w:val="false"/>
        </w:rPr>
        <w:t xml:space="preserve">The new Desk research page asks several AI engines the same question and shows their answers side by side, each grounded in a live web search with the sources it cited. Attach a call transcript or brief and the engines read it as context, keep asking follow-ups (all engines or just one), retry an engine that had a hiccup, and download the whole thread as a Word document.</w:t>
      </w:r>
    </w:p>
    <w:p>
      <w:pPr>
        <w:spacing w:after="160"/>
      </w:pPr>
      <w:r>
        <w:rPr>
          <w:b/>
        </w:rPr>
        <w:t xml:space="preserve">Track a whole category, not just a brand. </w:t>
      </w:r>
      <w:r>
        <w:rPr>
          <w:b w:val="false"/>
          <w:i w:val="false"/>
        </w:rPr>
        <w:t xml:space="preserve">From Topic research, Save as tracker now creates a category tracker that follows the brands the AI names for a topic and the topic's demand over time. Every tracker shows the exact prompts it is watching, has its own auto-run frequency, and a date-range filter on its trend.</w:t>
      </w:r>
    </w:p>
    <w:p>
      <w:pPr>
        <w:spacing w:after="160"/>
      </w:pPr>
      <w:r>
        <w:rPr>
          <w:b/>
        </w:rPr>
        <w:t xml:space="preserve">Meet M, your portal guide. </w:t>
      </w:r>
      <w:r>
        <w:rPr>
          <w:b w:val="false"/>
          <w:i w:val="false"/>
        </w:rPr>
        <w:t xml:space="preserve">A welcome panel on the dashboard lets you ask how to do something in plain language and points you straight to the right page, with one-tap starting points to get going.</w:t>
      </w:r>
    </w:p>
    <w:p>
      <w:pPr>
        <w:spacing w:after="160"/>
      </w:pPr>
      <w:r>
        <w:rPr>
          <w:b/>
        </w:rPr>
        <w:t xml:space="preserve">The AI tools now connect. </w:t>
      </w:r>
      <w:r>
        <w:rPr>
          <w:b w:val="false"/>
          <w:i w:val="false"/>
        </w:rPr>
        <w:t xml:space="preserve">The AI Monitor pages cross-link to each other, and the AI visibility page opens with a short guide to how AI visibility, Desk research, Topic research, AI perception and Prompt tracking work together.</w:t>
      </w:r>
    </w:p>
    <w:p>
      <w:pPr>
        <w:spacing w:after="160"/>
      </w:pPr>
      <w:r>
        <w:rPr>
          <w:b/>
        </w:rPr>
        <w:t xml:space="preserve">What's New - 9 September 2026</w:t>
      </w:r>
    </w:p>
    <w:p>
      <w:pPr>
        <w:spacing w:after="160"/>
      </w:pPr>
      <w:r>
        <w:rPr>
          <w:b/>
        </w:rPr>
        <w:t xml:space="preserve">Research a whole topic, not just your brand. </w:t>
      </w:r>
      <w:r>
        <w:rPr>
          <w:b w:val="false"/>
          <w:i w:val="false"/>
        </w:rPr>
        <w:t xml:space="preserve">A new Topic research page shows how a broad topic shows up across AI tools - how much it is asked, the related topics and their intent, the brands the AI names and the sources it cites, and a sample of the actual AI answers. Pick a country, an AI platform, and a custom date window, and turn it into an analyst report.</w:t>
      </w:r>
    </w:p>
    <w:p>
      <w:pPr>
        <w:spacing w:after="160"/>
      </w:pPr>
      <w:r>
        <w:rPr>
          <w:b/>
        </w:rPr>
        <w:t xml:space="preserve">See how AI describes your brand. </w:t>
      </w:r>
      <w:r>
        <w:rPr>
          <w:b w:val="false"/>
          <w:i w:val="false"/>
        </w:rPr>
        <w:t xml:space="preserve">The new AI perception page reads the actual AI answers that mention a brand and gives you the sentiment split, the attributes AI attaches, and what it says for and against - grounded only in what the engines actually say.</w:t>
      </w:r>
    </w:p>
    <w:p>
      <w:pPr>
        <w:spacing w:after="160"/>
      </w:pPr>
      <w:r>
        <w:rPr>
          <w:b/>
        </w:rPr>
        <w:t xml:space="preserve">Track your share of answer over time. </w:t>
      </w:r>
      <w:r>
        <w:rPr>
          <w:b w:val="false"/>
          <w:i w:val="false"/>
        </w:rPr>
        <w:t xml:space="preserve">From any AI visibility check, "Save as tracker" starts monitoring that brand and its competitors. The new Prompt tracking page shows the current share of answer and a trend of how it moves over time - run it any time, or leave it to run on a schedule.</w:t>
      </w:r>
    </w:p>
    <w:p>
      <w:pPr>
        <w:spacing w:after="160"/>
      </w:pPr>
      <w:r>
        <w:rPr>
          <w:b/>
        </w:rPr>
        <w:t xml:space="preserve">A tidier menu. </w:t>
      </w:r>
      <w:r>
        <w:rPr>
          <w:b w:val="false"/>
          <w:i w:val="false"/>
        </w:rPr>
        <w:t xml:space="preserve">The AI tools are now grouped under an AI Monitor section in the sidebar, with the data connectors under Data APIs just below it, so everything is easier to find.</w:t>
      </w:r>
    </w:p>
    <w:p>
      <w:pPr>
        <w:spacing w:after="160"/>
      </w:pPr>
      <w:r>
        <w:rPr>
          <w:b/>
        </w:rPr>
        <w:t xml:space="preserve">What's New - 2 September 2026</w:t>
      </w:r>
    </w:p>
    <w:p>
      <w:pPr>
        <w:spacing w:after="160"/>
      </w:pPr>
      <w:r>
        <w:rPr>
          <w:b/>
        </w:rPr>
        <w:t xml:space="preserve">Track your AI visibility over time. </w:t>
      </w:r>
      <w:r>
        <w:rPr>
          <w:b w:val="false"/>
          <w:i w:val="false"/>
        </w:rPr>
        <w:t xml:space="preserve">A new trend view on the AI visibility page charts how often your brand - and your competitors - are mentioned in AI answers month by month, back to August 2025, so you can watch your share of voice move against launches and campaigns. Pick a From/To window, and switch between mentions and AI search volume.</w:t>
      </w:r>
    </w:p>
    <w:p>
      <w:pPr>
        <w:spacing w:after="160"/>
      </w:pPr>
      <w:r>
        <w:rPr>
          <w:b/>
        </w:rPr>
        <w:t xml:space="preserve">See which questions actually have demand. </w:t>
      </w:r>
      <w:r>
        <w:rPr>
          <w:b w:val="false"/>
          <w:i w:val="false"/>
        </w:rPr>
        <w:t xml:space="preserve">Load AI search volume on a check and the questions re-rank by how often people really ask them of AI tools, each tagged with whether you show up - so a high-demand question you are absent from stands out as the priority gap. One click, "use demand-ranked questions", rewrites your set to the questions that matter and re-checks.</w:t>
      </w:r>
    </w:p>
    <w:p>
      <w:pPr>
        <w:spacing w:after="160"/>
      </w:pPr>
      <w:r>
        <w:rPr>
          <w:b/>
        </w:rPr>
        <w:t xml:space="preserve">Discover questions you had not thought of. </w:t>
      </w:r>
      <w:r>
        <w:rPr>
          <w:b w:val="false"/>
          <w:i w:val="false"/>
        </w:rPr>
        <w:t xml:space="preserve">"Discover more by demand" expands your category into related questions people actually ask AI tools, ranked by demand and ready to add to your check with a click - so your question set is not limited to what you thought of.</w:t>
      </w:r>
    </w:p>
    <w:p>
      <w:pPr>
        <w:spacing w:after="160"/>
      </w:pPr>
      <w:r>
        <w:rPr>
          <w:b/>
        </w:rPr>
        <w:t xml:space="preserve">Your plan’s report allowance. </w:t>
      </w:r>
      <w:r>
        <w:rPr>
          <w:b w:val="false"/>
          <w:i w:val="false"/>
        </w:rPr>
        <w:t xml:space="preserve">Each account now has a monthly report allowance set by its package. You will see a heads-up as you approach it, and a clear message if you reach it - just contact Convosphere to raise your plan.</w:t>
      </w:r>
    </w:p>
    <w:p>
      <w:pPr>
        <w:spacing w:after="160"/>
      </w:pPr>
      <w:r>
        <w:rPr>
          <w:b/>
        </w:rPr>
        <w:t xml:space="preserve">What's New - 1 September 2026</w:t>
      </w:r>
    </w:p>
    <w:p>
      <w:pPr>
        <w:spacing w:after="160"/>
      </w:pPr>
      <w:r>
        <w:rPr>
          <w:b/>
        </w:rPr>
        <w:t xml:space="preserve">Competitors on AI visibility. </w:t>
      </w:r>
      <w:r>
        <w:rPr>
          <w:b w:val="false"/>
          <w:i w:val="false"/>
        </w:rPr>
        <w:t xml:space="preserve">Add competitor names on the AI visibility page and the check scores each one in the same answers it already fetched - so you get a like-for-like share of answer, you versus each rival, with no extra queries and no extra cost. Below the per-engine bars you now see a you-vs-competitors leaderboard and a per-engine breakdown table, and the comparison rides along in the CSV and the downloadable image. The same competitor box also works on the cross-engine check inside a GEO report.</w:t>
      </w:r>
    </w:p>
    <w:p>
      <w:pPr>
        <w:spacing w:after="160"/>
      </w:pPr>
      <w:r>
        <w:rPr>
          <w:b/>
        </w:rPr>
        <w:t xml:space="preserve">A report from your AI visibility check. </w:t>
      </w:r>
      <w:r>
        <w:rPr>
          <w:b w:val="false"/>
          <w:i w:val="false"/>
        </w:rPr>
        <w:t xml:space="preserve">The Generate report button turns a check into a written, saveable report. An analyst narrative is written over the measured numbers - your overall share, where you show up and where you do not, engine by engine, how you stand against competitors, and what would move the needle - and it lands in your Reports, reopens with its charts intact, carries the analyst review box, and exports to PowerPoint as native designed slides. As always, the figures are counted from the answers, never invented.</w:t>
      </w:r>
    </w:p>
    <w:p>
      <w:pPr>
        <w:spacing w:after="160"/>
      </w:pPr>
      <w:r>
        <w:rPr>
          <w:b/>
        </w:rPr>
        <w:t xml:space="preserve">Download the chart as an image. </w:t>
      </w:r>
      <w:r>
        <w:rPr>
          <w:b w:val="false"/>
          <w:i w:val="false"/>
        </w:rPr>
        <w:t xml:space="preserve">A Download image button on the AI visibility results saves the share-of-answer bars, the competitor comparison and the verdict grid as a crisp image you can drop straight into a slide or a deck, alongside the existing CSV download.</w:t>
      </w:r>
    </w:p>
    <w:p>
      <w:pPr>
        <w:spacing w:after="160"/>
      </w:pPr>
      <w:r>
        <w:rPr>
          <w:b/>
        </w:rPr>
        <w:t xml:space="preserve">AI visibility check. </w:t>
      </w:r>
      <w:r>
        <w:rPr>
          <w:b w:val="false"/>
          <w:i w:val="false"/>
        </w:rPr>
        <w:t xml:space="preserve">A new AI visibility page in the sidebar shows where a brand appears in AI answers. Enter a brand and a few questions - or click Suggest top questions to have the portal draft the questions a buyer would ask - then run them across Perplexity, ChatGPT, Claude and Gemini at once. You get a share-of-answer bar per engine and a query-by-engine grid showing whether the brand is present, cited or absent, and you can download it as a CSV. No data upload is needed. Read it as a live probe: these are the engines web-search surfaces, not the consumer apps, and answers move between runs.</w:t>
      </w:r>
    </w:p>
    <w:p>
      <w:pPr>
        <w:spacing w:after="160"/>
      </w:pPr>
      <w:r>
        <w:rPr>
          <w:b/>
        </w:rPr>
        <w:t xml:space="preserve">Framework report. </w:t>
      </w:r>
      <w:r>
        <w:rPr>
          <w:b w:val="false"/>
          <w:i w:val="false"/>
        </w:rPr>
        <w:t xml:space="preserve">A new authored-analysis tool. You pick a LENS (starting with the Audience Contract) and, optionally, the issue terms that define the topic. The portal separates the real conversation from unrelated commerce, reads the evidence through your lens, and writes a structured report - thesis, methodology, the framework, the case read with charts, and a synthesis - laid out on the Convosphere template. This is the deep, analyst-grade path, distinct from the quick Storytelling deck.</w:t>
      </w:r>
    </w:p>
    <w:p>
      <w:pPr>
        <w:spacing w:after="160"/>
      </w:pPr>
      <w:r>
        <w:rPr>
          <w:b/>
        </w:rPr>
        <w:t xml:space="preserve">Deeper Storytelling decks. </w:t>
      </w:r>
      <w:r>
        <w:rPr>
          <w:b w:val="false"/>
          <w:i w:val="false"/>
        </w:rPr>
        <w:t xml:space="preserve">The Storytelling export is now a set of designed slides - a hook, one card per beat, the tension, and a proof gallery - rather than a text dump. Each beat carries its full reasoning, with long beats split across two slides so nothing is cut off, and when the story is built from a Reputation or Brand health report the scorecard now appears as its own slide rather than only a quoted number.</w:t>
      </w:r>
    </w:p>
    <w:p>
      <w:pPr>
        <w:spacing w:after="160"/>
      </w:pPr>
      <w:r>
        <w:rPr>
          <w:b/>
        </w:rPr>
        <w:t xml:space="preserve">Cleaner data reads. </w:t>
      </w:r>
      <w:r>
        <w:rPr>
          <w:b w:val="false"/>
          <w:i w:val="false"/>
        </w:rPr>
        <w:t xml:space="preserve">When a topic attracts a lot of unrelated commerce chatter (product listings, giveaways, lifestyle posts), the portal now separates the real conversation from that noise and reports sentiment as an honest range, so a misleadingly positive topline no longer hides a negative conversation.</w:t>
      </w:r>
    </w:p>
    <w:p>
      <w:pPr>
        <w:spacing w:after="160"/>
      </w:pPr>
      <w:r>
        <w:rPr>
          <w:b/>
        </w:rPr>
        <w:t xml:space="preserve">Get Started checklist. </w:t>
      </w:r>
      <w:r>
        <w:rPr>
          <w:b w:val="false"/>
          <w:i w:val="false"/>
        </w:rPr>
        <w:t xml:space="preserve">New users see a Get Started card on the dashboard with a few first actions, each linking straight to the right screen. It tracks your progress, saves to your account, and can be collapsed or dismissed.</w:t>
      </w:r>
    </w:p>
    <w:p>
      <w:pPr>
        <w:pStyle w:val="Heading1"/>
      </w:pPr>
      <w:r>
        <w:t>Security and Data Protection</w:t>
      </w:r>
    </w:p>
    <w:p>
      <w:pPr>
        <w:spacing w:after="160"/>
      </w:pPr>
      <w:r>
        <w:t>Your data is protected in transit and at rest, and kept strictly within your own workspace. The portal is multi-tenant: every record is scoped to your client account, and that boundary is enforced on every request - you only ever see your own brands, datasets, reports and events.</w:t>
      </w:r>
    </w:p>
    <w:p>
      <w:pPr>
        <w:spacing w:after="160"/>
      </w:pPr>
      <w:r>
        <w:t>Accounts are protected by strong password hashing and optional two-factor authentication (TOTP). Where two-factor is enabled, the authenticator secret is encrypted at rest. Password resets use single-use, time-limited links and sign you out of other sessions.</w:t>
      </w:r>
    </w:p>
    <w:p>
      <w:pPr>
        <w:spacing w:after="160"/>
      </w:pPr>
      <w:r>
        <w:t>Analysis providers are called server-side only - your data and our API keys never reach the browser - and we instruct the AI providers not to retain your content for training. Access is rate-limited and monitored, error detail is kept server-side, and provider connections are documented in the Sub-processor Register.</w:t>
      </w:r>
    </w:p>
    <w:p>
      <w:pPr>
        <w:spacing w:after="160"/>
      </w:pPr>
      <w:r>
        <w:t>In September 2026 the platform completed an internal security review and hardening pass across authentication, tenant isolation, input handling and monitoring. A summary is available on request, and an independent external penetration test is planned.</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20"/>
      <w:outlineLvl w:val="0"/>
    </w:pPr>
    <w:rPr>
      <w:rFonts w:ascii="Arial" w:cs="Arial" w:eastAsia="Arial" w:hAnsi="Arial"/>
      <w:b/>
      <w:bCs/>
      <w:color w:val="0B1F35"/>
      <w:sz w:val="30"/>
      <w:szCs w:val="30"/>
    </w:rPr>
  </w:style>
  <w:style w:type="paragraph" w:styleId="Heading2">
    <w:name w:val="Heading 2"/>
    <w:basedOn w:val="Normal"/>
    <w:next w:val="Normal"/>
    <w:qFormat/>
    <w:pPr>
      <w:spacing w:after="160" w:before="240"/>
      <w:outlineLvl w:val="1"/>
    </w:pPr>
    <w:rPr>
      <w:rFonts w:ascii="Arial" w:cs="Arial" w:eastAsia="Arial" w:hAnsi="Arial"/>
      <w:b/>
      <w:bCs/>
      <w:color w:val="0B1F35"/>
      <w:sz w:val="26"/>
      <w:szCs w:val="26"/>
    </w:rPr>
  </w:style>
  <w:style w:type="paragraph" w:styleId="Heading3">
    <w:name w:val="Heading 3"/>
    <w:basedOn w:val="Normal"/>
    <w:next w:val="Normal"/>
    <w:qFormat/>
    <w:pPr>
      <w:spacing w:after="120" w:before="200"/>
      <w:outlineLvl w:val="2"/>
    </w:pPr>
    <w:rPr>
      <w:rFonts w:ascii="Arial" w:cs="Arial" w:eastAsia="Arial" w:hAnsi="Arial"/>
      <w:b/>
      <w:bCs/>
      <w:color w:val="007a88"/>
      <w:sz w:val="23"/>
      <w:szCs w:val="23"/>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2026-06-30T22:28:36.995Z</dcterms:created>
  <dcterms:modified xsi:type="dcterms:W3CDTF">2026-06-30T22:28:36.999Z</dcterms:modified>
</cp:coreProperties>
</file>

<file path=docProps/custom.xml><?xml version="1.0" encoding="utf-8"?>
<Properties xmlns="http://schemas.openxmlformats.org/officeDocument/2006/custom-properties" xmlns:vt="http://schemas.openxmlformats.org/officeDocument/2006/docPropsVTypes"/>
</file>